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9A1C7" w14:textId="77777777" w:rsidR="00A54CE0" w:rsidRDefault="00A54CE0" w:rsidP="00ED2BB5">
      <w:pPr>
        <w:pStyle w:val="Body"/>
        <w:rPr>
          <w:noProof/>
        </w:rPr>
      </w:pPr>
      <w:permStart w:id="1335898770" w:edGrp="everyone"/>
      <w:permEnd w:id="1335898770"/>
    </w:p>
    <w:p w14:paraId="17D18F5E" w14:textId="77777777" w:rsidR="00ED2BB5" w:rsidRDefault="00ED2BB5" w:rsidP="00ED2BB5">
      <w:pPr>
        <w:pStyle w:val="Body"/>
        <w:rPr>
          <w:noProof/>
        </w:rPr>
      </w:pPr>
    </w:p>
    <w:p w14:paraId="531D17C5" w14:textId="77777777" w:rsidR="00ED2BB5" w:rsidRDefault="00ED2BB5" w:rsidP="00ED2BB5">
      <w:pPr>
        <w:pStyle w:val="Body"/>
        <w:rPr>
          <w:noProof/>
        </w:rPr>
      </w:pPr>
    </w:p>
    <w:p w14:paraId="54DA9C12" w14:textId="40FED87E" w:rsidR="00001E8C" w:rsidRPr="00ED2BB5" w:rsidRDefault="009E25FE" w:rsidP="00ED2BB5">
      <w:pPr>
        <w:pStyle w:val="Body"/>
        <w:rPr>
          <w:rFonts w:eastAsia="MS Gothic" w:cstheme="minorBidi"/>
          <w:b/>
          <w:bCs/>
          <w:kern w:val="32"/>
          <w:sz w:val="56"/>
          <w:szCs w:val="56"/>
        </w:rPr>
      </w:pPr>
      <w:bookmarkStart w:id="0" w:name="_Toc221698437"/>
      <w:bookmarkStart w:id="1" w:name="_Toc221878492"/>
      <w:r w:rsidRPr="00ED2BB5">
        <w:rPr>
          <w:rFonts w:eastAsia="MS Gothic" w:cstheme="minorBidi"/>
          <w:b/>
          <w:bCs/>
          <w:noProof/>
          <w:kern w:val="32"/>
          <w:sz w:val="56"/>
          <w:szCs w:val="56"/>
        </w:rPr>
        <w:drawing>
          <wp:anchor distT="0" distB="0" distL="114300" distR="114300" simplePos="0" relativeHeight="251658241" behindDoc="1" locked="1" layoutInCell="1" allowOverlap="1" wp14:anchorId="6454F86B" wp14:editId="72553BD7">
            <wp:simplePos x="0" y="0"/>
            <wp:positionH relativeFrom="page">
              <wp:posOffset>-9525</wp:posOffset>
            </wp:positionH>
            <wp:positionV relativeFrom="page">
              <wp:posOffset>180975</wp:posOffset>
            </wp:positionV>
            <wp:extent cx="7561580" cy="10572750"/>
            <wp:effectExtent l="0" t="0" r="1270" b="0"/>
            <wp:wrapNone/>
            <wp:docPr id="49684335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6843355" name="Picture 3">
                      <a:extLst>
                        <a:ext uri="{C183D7F6-B498-43B3-948B-1728B52AA6E4}">
                          <adec:decorative xmlns:adec="http://schemas.microsoft.com/office/drawing/2017/decorative" val="1"/>
                        </a:ext>
                      </a:extLst>
                    </pic:cNvPr>
                    <pic:cNvPicPr preferRelativeResize="0">
                      <a:picLocks noChangeAspect="1" noChangeArrowheads="1"/>
                    </pic:cNvPicPr>
                  </pic:nvPicPr>
                  <pic:blipFill rotWithShape="1">
                    <a:blip r:embed="rId12">
                      <a:extLst>
                        <a:ext uri="{28A0092B-C50C-407E-A947-70E740481C1C}">
                          <a14:useLocalDpi xmlns:a14="http://schemas.microsoft.com/office/drawing/2010/main" val="0"/>
                        </a:ext>
                      </a:extLst>
                    </a:blip>
                    <a:srcRect b="1168"/>
                    <a:stretch>
                      <a:fillRect/>
                    </a:stretch>
                  </pic:blipFill>
                  <pic:spPr bwMode="auto">
                    <a:xfrm>
                      <a:off x="0" y="0"/>
                      <a:ext cx="7561580" cy="10572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77A3" w:rsidRPr="00ED2BB5">
        <w:rPr>
          <w:rFonts w:eastAsia="MS Gothic" w:cstheme="minorBidi"/>
          <w:b/>
          <w:bCs/>
          <w:noProof/>
          <w:kern w:val="32"/>
          <w:sz w:val="56"/>
          <w:szCs w:val="56"/>
        </w:rPr>
        <w:drawing>
          <wp:anchor distT="0" distB="0" distL="114300" distR="114300" simplePos="0" relativeHeight="251658242" behindDoc="0" locked="1" layoutInCell="1" allowOverlap="1" wp14:anchorId="1195BEFF" wp14:editId="3907A1E6">
            <wp:simplePos x="0" y="0"/>
            <wp:positionH relativeFrom="page">
              <wp:posOffset>-9525</wp:posOffset>
            </wp:positionH>
            <wp:positionV relativeFrom="page">
              <wp:posOffset>-133350</wp:posOffset>
            </wp:positionV>
            <wp:extent cx="7639050" cy="5092700"/>
            <wp:effectExtent l="0" t="0" r="0" b="0"/>
            <wp:wrapSquare wrapText="bothSides"/>
            <wp:docPr id="2265675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67546" name="Picture 1">
                      <a:extLst>
                        <a:ext uri="{C183D7F6-B498-43B3-948B-1728B52AA6E4}">
                          <adec:decorative xmlns:adec="http://schemas.microsoft.com/office/drawing/2017/decorative" val="1"/>
                        </a:ext>
                      </a:extLst>
                    </pic:cNvPr>
                    <pic:cNvPicPr/>
                  </pic:nvPicPr>
                  <pic:blipFill>
                    <a:blip r:embed="rId13"/>
                    <a:stretch>
                      <a:fillRect/>
                    </a:stretch>
                  </pic:blipFill>
                  <pic:spPr>
                    <a:xfrm>
                      <a:off x="0" y="0"/>
                      <a:ext cx="7639050" cy="50927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001E8C" w:rsidRPr="00ED2BB5">
        <w:rPr>
          <w:rFonts w:eastAsia="MS Gothic" w:cstheme="minorBidi"/>
          <w:b/>
          <w:bCs/>
          <w:kern w:val="32"/>
          <w:sz w:val="56"/>
          <w:szCs w:val="56"/>
        </w:rPr>
        <w:t>Whanaketanga</w:t>
      </w:r>
      <w:proofErr w:type="spellEnd"/>
      <w:r w:rsidR="00001E8C" w:rsidRPr="00ED2BB5">
        <w:rPr>
          <w:rFonts w:eastAsia="MS Gothic" w:cstheme="minorBidi"/>
          <w:b/>
          <w:bCs/>
          <w:kern w:val="32"/>
          <w:sz w:val="56"/>
          <w:szCs w:val="56"/>
        </w:rPr>
        <w:t xml:space="preserve"> </w:t>
      </w:r>
      <w:proofErr w:type="spellStart"/>
      <w:r w:rsidR="00001E8C" w:rsidRPr="00ED2BB5">
        <w:rPr>
          <w:rFonts w:eastAsia="MS Gothic" w:cstheme="minorBidi"/>
          <w:b/>
          <w:bCs/>
          <w:kern w:val="32"/>
          <w:sz w:val="56"/>
          <w:szCs w:val="56"/>
        </w:rPr>
        <w:t>ōhanga</w:t>
      </w:r>
      <w:bookmarkEnd w:id="0"/>
      <w:bookmarkEnd w:id="1"/>
      <w:proofErr w:type="spellEnd"/>
      <w:r w:rsidR="00001E8C" w:rsidRPr="00ED2BB5">
        <w:rPr>
          <w:rFonts w:eastAsia="MS Gothic" w:cstheme="minorBidi"/>
          <w:b/>
          <w:bCs/>
          <w:kern w:val="32"/>
          <w:sz w:val="56"/>
          <w:szCs w:val="56"/>
        </w:rPr>
        <w:t xml:space="preserve"> </w:t>
      </w:r>
    </w:p>
    <w:p w14:paraId="2385526B" w14:textId="0280D9ED" w:rsidR="004616DF" w:rsidRPr="00ED2BB5" w:rsidRDefault="009D080A" w:rsidP="00FB695A">
      <w:pPr>
        <w:pStyle w:val="Body"/>
        <w:rPr>
          <w:rFonts w:eastAsia="MS Gothic" w:cstheme="minorBidi"/>
          <w:b/>
          <w:bCs/>
          <w:kern w:val="32"/>
          <w:sz w:val="56"/>
          <w:szCs w:val="56"/>
        </w:rPr>
      </w:pPr>
      <w:bookmarkStart w:id="2" w:name="_Toc221698438"/>
      <w:bookmarkStart w:id="3" w:name="_Toc221878493"/>
      <w:r w:rsidRPr="00ED2BB5">
        <w:rPr>
          <w:rFonts w:eastAsia="MS Gothic" w:cstheme="minorBidi"/>
          <w:b/>
          <w:bCs/>
          <w:kern w:val="32"/>
          <w:sz w:val="56"/>
          <w:szCs w:val="56"/>
        </w:rPr>
        <w:t>Economic development</w:t>
      </w:r>
      <w:bookmarkEnd w:id="2"/>
      <w:bookmarkEnd w:id="3"/>
    </w:p>
    <w:p w14:paraId="4CB79B07" w14:textId="04B2A33C" w:rsidR="004616DF" w:rsidRPr="00ED2BB5" w:rsidRDefault="004616DF" w:rsidP="00FB695A">
      <w:pPr>
        <w:pStyle w:val="Body"/>
        <w:rPr>
          <w:rFonts w:eastAsia="MS Gothic" w:cstheme="minorBidi"/>
          <w:b/>
          <w:bCs/>
          <w:kern w:val="32"/>
          <w:sz w:val="56"/>
          <w:szCs w:val="56"/>
        </w:rPr>
      </w:pPr>
      <w:bookmarkStart w:id="4" w:name="_Toc219817886"/>
      <w:bookmarkStart w:id="5" w:name="_Toc219818386"/>
      <w:bookmarkStart w:id="6" w:name="_Toc220420437"/>
      <w:bookmarkStart w:id="7" w:name="_Toc221698439"/>
      <w:bookmarkStart w:id="8" w:name="_Toc221878494"/>
      <w:r w:rsidRPr="00ED2BB5">
        <w:rPr>
          <w:rFonts w:eastAsia="MS Gothic" w:cstheme="minorBidi"/>
          <w:b/>
          <w:bCs/>
          <w:kern w:val="32"/>
          <w:sz w:val="56"/>
          <w:szCs w:val="56"/>
        </w:rPr>
        <w:t>Background report</w:t>
      </w:r>
      <w:bookmarkEnd w:id="4"/>
      <w:bookmarkEnd w:id="5"/>
      <w:bookmarkEnd w:id="6"/>
      <w:bookmarkEnd w:id="7"/>
      <w:bookmarkEnd w:id="8"/>
    </w:p>
    <w:p w14:paraId="4273EFCC" w14:textId="542CF65C" w:rsidR="00AA6923" w:rsidRPr="00E6041E" w:rsidRDefault="0060789E" w:rsidP="00ED2BB5">
      <w:pPr>
        <w:pStyle w:val="Body"/>
        <w:rPr>
          <w:rFonts w:eastAsia="MS Gothic"/>
        </w:rPr>
      </w:pPr>
      <w:r w:rsidRPr="0060789E">
        <w:rPr>
          <w:rFonts w:cstheme="minorHAnsi"/>
          <w:noProof/>
        </w:rPr>
        <mc:AlternateContent>
          <mc:Choice Requires="wps">
            <w:drawing>
              <wp:anchor distT="45720" distB="45720" distL="114300" distR="114300" simplePos="0" relativeHeight="251658240" behindDoc="0" locked="0" layoutInCell="1" allowOverlap="1" wp14:anchorId="262DE802" wp14:editId="64E806E0">
                <wp:simplePos x="0" y="0"/>
                <wp:positionH relativeFrom="column">
                  <wp:posOffset>232410</wp:posOffset>
                </wp:positionH>
                <wp:positionV relativeFrom="paragraph">
                  <wp:posOffset>2457450</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B0AC8B2" w14:textId="5D010768" w:rsidR="0060789E" w:rsidRPr="0060789E" w:rsidRDefault="006E404C">
                            <w:pPr>
                              <w:rPr>
                                <w:sz w:val="32"/>
                                <w:szCs w:val="32"/>
                              </w:rPr>
                            </w:pPr>
                            <w:r>
                              <w:rPr>
                                <w:sz w:val="32"/>
                                <w:szCs w:val="32"/>
                              </w:rPr>
                              <w:t>March</w:t>
                            </w:r>
                            <w:r w:rsidR="0060789E" w:rsidRPr="0060789E">
                              <w:rPr>
                                <w:sz w:val="32"/>
                                <w:szCs w:val="32"/>
                              </w:rPr>
                              <w:t xml:space="preserve"> 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62DE802" id="_x0000_t202" coordsize="21600,21600" o:spt="202" path="m,l,21600r21600,l21600,xe">
                <v:stroke joinstyle="miter"/>
                <v:path gradientshapeok="t" o:connecttype="rect"/>
              </v:shapetype>
              <v:shape id="Text Box 2" o:spid="_x0000_s1026" type="#_x0000_t202" style="position:absolute;margin-left:18.3pt;margin-top:193.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" filled="f" stroked="f">
                <v:textbox style="mso-fit-shape-to-text:t">
                  <w:txbxContent>
                    <w:p w14:paraId="2B0AC8B2" w14:textId="5D010768" w:rsidR="0060789E" w:rsidRPr="0060789E" w:rsidRDefault="006E404C">
                      <w:pPr>
                        <w:rPr>
                          <w:sz w:val="32"/>
                          <w:szCs w:val="32"/>
                        </w:rPr>
                      </w:pPr>
                      <w:r>
                        <w:rPr>
                          <w:sz w:val="32"/>
                          <w:szCs w:val="32"/>
                        </w:rPr>
                        <w:t>March</w:t>
                      </w:r>
                      <w:r w:rsidR="0060789E" w:rsidRPr="0060789E">
                        <w:rPr>
                          <w:sz w:val="32"/>
                          <w:szCs w:val="32"/>
                        </w:rPr>
                        <w:t xml:space="preserve"> 2026</w:t>
                      </w:r>
                    </w:p>
                  </w:txbxContent>
                </v:textbox>
              </v:shape>
            </w:pict>
          </mc:Fallback>
        </mc:AlternateContent>
      </w:r>
      <w:r w:rsidR="004616DF">
        <w:rPr>
          <w:rFonts w:eastAsia="MS Gothic"/>
        </w:rPr>
        <w:br w:type="page"/>
      </w:r>
    </w:p>
    <w:sdt>
      <w:sdtPr>
        <w:rPr>
          <w:rFonts w:asciiTheme="minorHAnsi" w:eastAsia="Times New Roman" w:hAnsiTheme="minorHAnsi"/>
          <w:bCs/>
          <w:iCs w:val="0"/>
          <w:szCs w:val="22"/>
        </w:rPr>
        <w:id w:val="1334140146"/>
        <w:docPartObj>
          <w:docPartGallery w:val="Table of Contents"/>
          <w:docPartUnique/>
        </w:docPartObj>
      </w:sdtPr>
      <w:sdtEndPr/>
      <w:sdtContent>
        <w:p w14:paraId="18325841" w14:textId="77777777" w:rsidR="00551507" w:rsidRDefault="00655D77" w:rsidP="3C7EFEEB">
          <w:pPr>
            <w:pStyle w:val="TOCHeading"/>
            <w:rPr>
              <w:rFonts w:asciiTheme="minorHAnsi" w:hAnsiTheme="minorHAnsi" w:cstheme="minorBidi"/>
            </w:rPr>
          </w:pPr>
          <w:r w:rsidRPr="3C7EFEEB">
            <w:rPr>
              <w:rFonts w:asciiTheme="minorHAnsi" w:hAnsiTheme="minorHAnsi" w:cstheme="minorBidi"/>
            </w:rPr>
            <w:t>Contents</w:t>
          </w:r>
        </w:p>
        <w:p w14:paraId="4BCA7B19" w14:textId="77777777" w:rsidR="006E404C" w:rsidRPr="006E404C" w:rsidRDefault="006E404C" w:rsidP="006E404C"/>
        <w:p w14:paraId="7C1E6E01" w14:textId="7479235C" w:rsidR="00DC0B35" w:rsidRDefault="3C7EFEEB">
          <w:pPr>
            <w:pStyle w:val="TOC1"/>
            <w:rPr>
              <w:rFonts w:eastAsiaTheme="minorEastAsia" w:cstheme="minorBidi"/>
              <w:b w:val="0"/>
              <w:bCs w:val="0"/>
              <w:noProof/>
              <w:kern w:val="2"/>
              <w:sz w:val="24"/>
              <w:szCs w:val="24"/>
              <w:lang w:eastAsia="en-NZ"/>
              <w14:ligatures w14:val="standardContextual"/>
            </w:rPr>
          </w:pPr>
          <w:r>
            <w:fldChar w:fldCharType="begin"/>
          </w:r>
          <w:r w:rsidR="00551507">
            <w:instrText>TOC \o "1-3" \z \u \h</w:instrText>
          </w:r>
          <w:r>
            <w:fldChar w:fldCharType="separate"/>
          </w:r>
          <w:hyperlink w:anchor="_Toc223964602" w:history="1">
            <w:r w:rsidR="00DC0B35" w:rsidRPr="0018582F">
              <w:rPr>
                <w:rStyle w:val="Hyperlink"/>
              </w:rPr>
              <w:t>Purpose</w:t>
            </w:r>
            <w:r w:rsidR="00DC0B35">
              <w:rPr>
                <w:noProof/>
                <w:webHidden/>
              </w:rPr>
              <w:tab/>
            </w:r>
            <w:r w:rsidR="00DC0B35">
              <w:rPr>
                <w:noProof/>
                <w:webHidden/>
              </w:rPr>
              <w:fldChar w:fldCharType="begin"/>
            </w:r>
            <w:r w:rsidR="00DC0B35">
              <w:rPr>
                <w:noProof/>
                <w:webHidden/>
              </w:rPr>
              <w:instrText xml:space="preserve"> PAGEREF _Toc223964602 \h </w:instrText>
            </w:r>
            <w:r w:rsidR="00DC0B35">
              <w:rPr>
                <w:noProof/>
                <w:webHidden/>
              </w:rPr>
            </w:r>
            <w:r w:rsidR="00DC0B35">
              <w:rPr>
                <w:noProof/>
                <w:webHidden/>
              </w:rPr>
              <w:fldChar w:fldCharType="separate"/>
            </w:r>
            <w:r w:rsidR="00DC0B35">
              <w:rPr>
                <w:noProof/>
                <w:webHidden/>
              </w:rPr>
              <w:t>2</w:t>
            </w:r>
            <w:r w:rsidR="00DC0B35">
              <w:rPr>
                <w:noProof/>
                <w:webHidden/>
              </w:rPr>
              <w:fldChar w:fldCharType="end"/>
            </w:r>
          </w:hyperlink>
        </w:p>
        <w:p w14:paraId="366F0FFB" w14:textId="6AD4C0E0" w:rsidR="00DC0B35" w:rsidRDefault="00DC0B35">
          <w:pPr>
            <w:pStyle w:val="TOC2"/>
            <w:rPr>
              <w:rFonts w:eastAsiaTheme="minorEastAsia" w:cstheme="minorBidi"/>
              <w:noProof/>
              <w:kern w:val="2"/>
              <w:szCs w:val="24"/>
              <w:lang w:eastAsia="en-NZ"/>
              <w14:ligatures w14:val="standardContextual"/>
            </w:rPr>
          </w:pPr>
          <w:hyperlink w:anchor="_Toc223964603" w:history="1">
            <w:r w:rsidRPr="0018582F">
              <w:rPr>
                <w:rStyle w:val="Hyperlink"/>
              </w:rPr>
              <w:t>Council Activities</w:t>
            </w:r>
            <w:r>
              <w:rPr>
                <w:noProof/>
                <w:webHidden/>
              </w:rPr>
              <w:tab/>
            </w:r>
            <w:r>
              <w:rPr>
                <w:noProof/>
                <w:webHidden/>
              </w:rPr>
              <w:fldChar w:fldCharType="begin"/>
            </w:r>
            <w:r>
              <w:rPr>
                <w:noProof/>
                <w:webHidden/>
              </w:rPr>
              <w:instrText xml:space="preserve"> PAGEREF _Toc223964603 \h </w:instrText>
            </w:r>
            <w:r>
              <w:rPr>
                <w:noProof/>
                <w:webHidden/>
              </w:rPr>
            </w:r>
            <w:r>
              <w:rPr>
                <w:noProof/>
                <w:webHidden/>
              </w:rPr>
              <w:fldChar w:fldCharType="separate"/>
            </w:r>
            <w:r>
              <w:rPr>
                <w:noProof/>
                <w:webHidden/>
              </w:rPr>
              <w:t>2</w:t>
            </w:r>
            <w:r>
              <w:rPr>
                <w:noProof/>
                <w:webHidden/>
              </w:rPr>
              <w:fldChar w:fldCharType="end"/>
            </w:r>
          </w:hyperlink>
        </w:p>
        <w:p w14:paraId="5DC4CE26" w14:textId="147BADD4" w:rsidR="00DC0B35" w:rsidRDefault="00DC0B35">
          <w:pPr>
            <w:pStyle w:val="TOC1"/>
            <w:rPr>
              <w:rFonts w:eastAsiaTheme="minorEastAsia" w:cstheme="minorBidi"/>
              <w:b w:val="0"/>
              <w:bCs w:val="0"/>
              <w:noProof/>
              <w:kern w:val="2"/>
              <w:sz w:val="24"/>
              <w:szCs w:val="24"/>
              <w:lang w:eastAsia="en-NZ"/>
              <w14:ligatures w14:val="standardContextual"/>
            </w:rPr>
          </w:pPr>
          <w:hyperlink w:anchor="_Toc223964604" w:history="1">
            <w:r w:rsidRPr="0018582F">
              <w:rPr>
                <w:rStyle w:val="Hyperlink"/>
              </w:rPr>
              <w:t>What we do as a Council</w:t>
            </w:r>
            <w:r>
              <w:rPr>
                <w:noProof/>
                <w:webHidden/>
              </w:rPr>
              <w:tab/>
            </w:r>
            <w:r>
              <w:rPr>
                <w:noProof/>
                <w:webHidden/>
              </w:rPr>
              <w:fldChar w:fldCharType="begin"/>
            </w:r>
            <w:r>
              <w:rPr>
                <w:noProof/>
                <w:webHidden/>
              </w:rPr>
              <w:instrText xml:space="preserve"> PAGEREF _Toc223964604 \h </w:instrText>
            </w:r>
            <w:r>
              <w:rPr>
                <w:noProof/>
                <w:webHidden/>
              </w:rPr>
            </w:r>
            <w:r>
              <w:rPr>
                <w:noProof/>
                <w:webHidden/>
              </w:rPr>
              <w:fldChar w:fldCharType="separate"/>
            </w:r>
            <w:r>
              <w:rPr>
                <w:noProof/>
                <w:webHidden/>
              </w:rPr>
              <w:t>3</w:t>
            </w:r>
            <w:r>
              <w:rPr>
                <w:noProof/>
                <w:webHidden/>
              </w:rPr>
              <w:fldChar w:fldCharType="end"/>
            </w:r>
          </w:hyperlink>
        </w:p>
        <w:p w14:paraId="622569F6" w14:textId="0AB1A309" w:rsidR="00DC0B35" w:rsidRDefault="00DC0B35">
          <w:pPr>
            <w:pStyle w:val="TOC2"/>
            <w:rPr>
              <w:rFonts w:eastAsiaTheme="minorEastAsia" w:cstheme="minorBidi"/>
              <w:noProof/>
              <w:kern w:val="2"/>
              <w:szCs w:val="24"/>
              <w:lang w:eastAsia="en-NZ"/>
              <w14:ligatures w14:val="standardContextual"/>
            </w:rPr>
          </w:pPr>
          <w:hyperlink w:anchor="_Toc223964605" w:history="1">
            <w:r w:rsidRPr="0018582F">
              <w:rPr>
                <w:rStyle w:val="Hyperlink"/>
              </w:rPr>
              <w:t>Budget</w:t>
            </w:r>
            <w:r>
              <w:rPr>
                <w:noProof/>
                <w:webHidden/>
              </w:rPr>
              <w:tab/>
            </w:r>
            <w:r>
              <w:rPr>
                <w:noProof/>
                <w:webHidden/>
              </w:rPr>
              <w:fldChar w:fldCharType="begin"/>
            </w:r>
            <w:r>
              <w:rPr>
                <w:noProof/>
                <w:webHidden/>
              </w:rPr>
              <w:instrText xml:space="preserve"> PAGEREF _Toc223964605 \h </w:instrText>
            </w:r>
            <w:r>
              <w:rPr>
                <w:noProof/>
                <w:webHidden/>
              </w:rPr>
            </w:r>
            <w:r>
              <w:rPr>
                <w:noProof/>
                <w:webHidden/>
              </w:rPr>
              <w:fldChar w:fldCharType="separate"/>
            </w:r>
            <w:r>
              <w:rPr>
                <w:noProof/>
                <w:webHidden/>
              </w:rPr>
              <w:t>5</w:t>
            </w:r>
            <w:r>
              <w:rPr>
                <w:noProof/>
                <w:webHidden/>
              </w:rPr>
              <w:fldChar w:fldCharType="end"/>
            </w:r>
          </w:hyperlink>
        </w:p>
        <w:p w14:paraId="505EDA42" w14:textId="2DA4FF02" w:rsidR="00DC0B35" w:rsidRDefault="00DC0B35">
          <w:pPr>
            <w:pStyle w:val="TOC1"/>
            <w:rPr>
              <w:rFonts w:eastAsiaTheme="minorEastAsia" w:cstheme="minorBidi"/>
              <w:b w:val="0"/>
              <w:bCs w:val="0"/>
              <w:noProof/>
              <w:kern w:val="2"/>
              <w:sz w:val="24"/>
              <w:szCs w:val="24"/>
              <w:lang w:eastAsia="en-NZ"/>
              <w14:ligatures w14:val="standardContextual"/>
            </w:rPr>
          </w:pPr>
          <w:hyperlink w:anchor="_Toc223964606" w:history="1">
            <w:r w:rsidRPr="0018582F">
              <w:rPr>
                <w:rStyle w:val="Hyperlink"/>
              </w:rPr>
              <w:t>Why is this activity important?</w:t>
            </w:r>
            <w:r>
              <w:rPr>
                <w:noProof/>
                <w:webHidden/>
              </w:rPr>
              <w:tab/>
            </w:r>
            <w:r>
              <w:rPr>
                <w:noProof/>
                <w:webHidden/>
              </w:rPr>
              <w:fldChar w:fldCharType="begin"/>
            </w:r>
            <w:r>
              <w:rPr>
                <w:noProof/>
                <w:webHidden/>
              </w:rPr>
              <w:instrText xml:space="preserve"> PAGEREF _Toc223964606 \h </w:instrText>
            </w:r>
            <w:r>
              <w:rPr>
                <w:noProof/>
                <w:webHidden/>
              </w:rPr>
            </w:r>
            <w:r>
              <w:rPr>
                <w:noProof/>
                <w:webHidden/>
              </w:rPr>
              <w:fldChar w:fldCharType="separate"/>
            </w:r>
            <w:r>
              <w:rPr>
                <w:noProof/>
                <w:webHidden/>
              </w:rPr>
              <w:t>7</w:t>
            </w:r>
            <w:r>
              <w:rPr>
                <w:noProof/>
                <w:webHidden/>
              </w:rPr>
              <w:fldChar w:fldCharType="end"/>
            </w:r>
          </w:hyperlink>
        </w:p>
        <w:p w14:paraId="61E7F249" w14:textId="474EB486" w:rsidR="00DC0B35" w:rsidRDefault="00DC0B35">
          <w:pPr>
            <w:pStyle w:val="TOC1"/>
            <w:rPr>
              <w:rFonts w:eastAsiaTheme="minorEastAsia" w:cstheme="minorBidi"/>
              <w:b w:val="0"/>
              <w:bCs w:val="0"/>
              <w:noProof/>
              <w:kern w:val="2"/>
              <w:sz w:val="24"/>
              <w:szCs w:val="24"/>
              <w:lang w:eastAsia="en-NZ"/>
              <w14:ligatures w14:val="standardContextual"/>
            </w:rPr>
          </w:pPr>
          <w:hyperlink w:anchor="_Toc223964607" w:history="1">
            <w:r w:rsidRPr="0018582F">
              <w:rPr>
                <w:rStyle w:val="Hyperlink"/>
              </w:rPr>
              <w:t>Current Direction</w:t>
            </w:r>
            <w:r>
              <w:rPr>
                <w:noProof/>
                <w:webHidden/>
              </w:rPr>
              <w:tab/>
            </w:r>
            <w:r>
              <w:rPr>
                <w:noProof/>
                <w:webHidden/>
              </w:rPr>
              <w:fldChar w:fldCharType="begin"/>
            </w:r>
            <w:r>
              <w:rPr>
                <w:noProof/>
                <w:webHidden/>
              </w:rPr>
              <w:instrText xml:space="preserve"> PAGEREF _Toc223964607 \h </w:instrText>
            </w:r>
            <w:r>
              <w:rPr>
                <w:noProof/>
                <w:webHidden/>
              </w:rPr>
            </w:r>
            <w:r>
              <w:rPr>
                <w:noProof/>
                <w:webHidden/>
              </w:rPr>
              <w:fldChar w:fldCharType="separate"/>
            </w:r>
            <w:r>
              <w:rPr>
                <w:noProof/>
                <w:webHidden/>
              </w:rPr>
              <w:t>9</w:t>
            </w:r>
            <w:r>
              <w:rPr>
                <w:noProof/>
                <w:webHidden/>
              </w:rPr>
              <w:fldChar w:fldCharType="end"/>
            </w:r>
          </w:hyperlink>
        </w:p>
        <w:p w14:paraId="1A46D255" w14:textId="3E4B3C48" w:rsidR="00DC0B35" w:rsidRDefault="00DC0B35">
          <w:pPr>
            <w:pStyle w:val="TOC2"/>
            <w:rPr>
              <w:rFonts w:eastAsiaTheme="minorEastAsia" w:cstheme="minorBidi"/>
              <w:noProof/>
              <w:kern w:val="2"/>
              <w:szCs w:val="24"/>
              <w:lang w:eastAsia="en-NZ"/>
              <w14:ligatures w14:val="standardContextual"/>
            </w:rPr>
          </w:pPr>
          <w:hyperlink w:anchor="_Toc223964608" w:history="1">
            <w:r w:rsidRPr="0018582F">
              <w:rPr>
                <w:rStyle w:val="Hyperlink"/>
              </w:rPr>
              <w:t>Direction from Legislation and National Regulations</w:t>
            </w:r>
            <w:r>
              <w:rPr>
                <w:noProof/>
                <w:webHidden/>
              </w:rPr>
              <w:tab/>
            </w:r>
            <w:r>
              <w:rPr>
                <w:noProof/>
                <w:webHidden/>
              </w:rPr>
              <w:fldChar w:fldCharType="begin"/>
            </w:r>
            <w:r>
              <w:rPr>
                <w:noProof/>
                <w:webHidden/>
              </w:rPr>
              <w:instrText xml:space="preserve"> PAGEREF _Toc223964608 \h </w:instrText>
            </w:r>
            <w:r>
              <w:rPr>
                <w:noProof/>
                <w:webHidden/>
              </w:rPr>
            </w:r>
            <w:r>
              <w:rPr>
                <w:noProof/>
                <w:webHidden/>
              </w:rPr>
              <w:fldChar w:fldCharType="separate"/>
            </w:r>
            <w:r>
              <w:rPr>
                <w:noProof/>
                <w:webHidden/>
              </w:rPr>
              <w:t>9</w:t>
            </w:r>
            <w:r>
              <w:rPr>
                <w:noProof/>
                <w:webHidden/>
              </w:rPr>
              <w:fldChar w:fldCharType="end"/>
            </w:r>
          </w:hyperlink>
        </w:p>
        <w:p w14:paraId="29FFCB5D" w14:textId="2B0EF5B1" w:rsidR="00DC0B35" w:rsidRDefault="00DC0B35">
          <w:pPr>
            <w:pStyle w:val="TOC2"/>
            <w:rPr>
              <w:rFonts w:eastAsiaTheme="minorEastAsia" w:cstheme="minorBidi"/>
              <w:noProof/>
              <w:kern w:val="2"/>
              <w:szCs w:val="24"/>
              <w:lang w:eastAsia="en-NZ"/>
              <w14:ligatures w14:val="standardContextual"/>
            </w:rPr>
          </w:pPr>
          <w:hyperlink w:anchor="_Toc223964609" w:history="1">
            <w:r w:rsidRPr="0018582F">
              <w:rPr>
                <w:rStyle w:val="Hyperlink"/>
              </w:rPr>
              <w:t>Regional settings</w:t>
            </w:r>
            <w:r>
              <w:rPr>
                <w:noProof/>
                <w:webHidden/>
              </w:rPr>
              <w:tab/>
            </w:r>
            <w:r>
              <w:rPr>
                <w:noProof/>
                <w:webHidden/>
              </w:rPr>
              <w:fldChar w:fldCharType="begin"/>
            </w:r>
            <w:r>
              <w:rPr>
                <w:noProof/>
                <w:webHidden/>
              </w:rPr>
              <w:instrText xml:space="preserve"> PAGEREF _Toc223964609 \h </w:instrText>
            </w:r>
            <w:r>
              <w:rPr>
                <w:noProof/>
                <w:webHidden/>
              </w:rPr>
            </w:r>
            <w:r>
              <w:rPr>
                <w:noProof/>
                <w:webHidden/>
              </w:rPr>
              <w:fldChar w:fldCharType="separate"/>
            </w:r>
            <w:r>
              <w:rPr>
                <w:noProof/>
                <w:webHidden/>
              </w:rPr>
              <w:t>9</w:t>
            </w:r>
            <w:r>
              <w:rPr>
                <w:noProof/>
                <w:webHidden/>
              </w:rPr>
              <w:fldChar w:fldCharType="end"/>
            </w:r>
          </w:hyperlink>
        </w:p>
        <w:p w14:paraId="5529895F" w14:textId="74AFBA37" w:rsidR="00DC0B35" w:rsidRDefault="00DC0B35">
          <w:pPr>
            <w:pStyle w:val="TOC2"/>
            <w:rPr>
              <w:rFonts w:eastAsiaTheme="minorEastAsia" w:cstheme="minorBidi"/>
              <w:noProof/>
              <w:kern w:val="2"/>
              <w:szCs w:val="24"/>
              <w:lang w:eastAsia="en-NZ"/>
              <w14:ligatures w14:val="standardContextual"/>
            </w:rPr>
          </w:pPr>
          <w:hyperlink w:anchor="_Toc223964610" w:history="1">
            <w:r w:rsidRPr="0018582F">
              <w:rPr>
                <w:rStyle w:val="Hyperlink"/>
              </w:rPr>
              <w:t>Wellington City Council settings</w:t>
            </w:r>
            <w:r>
              <w:rPr>
                <w:noProof/>
                <w:webHidden/>
              </w:rPr>
              <w:tab/>
            </w:r>
            <w:r>
              <w:rPr>
                <w:noProof/>
                <w:webHidden/>
              </w:rPr>
              <w:fldChar w:fldCharType="begin"/>
            </w:r>
            <w:r>
              <w:rPr>
                <w:noProof/>
                <w:webHidden/>
              </w:rPr>
              <w:instrText xml:space="preserve"> PAGEREF _Toc223964610 \h </w:instrText>
            </w:r>
            <w:r>
              <w:rPr>
                <w:noProof/>
                <w:webHidden/>
              </w:rPr>
            </w:r>
            <w:r>
              <w:rPr>
                <w:noProof/>
                <w:webHidden/>
              </w:rPr>
              <w:fldChar w:fldCharType="separate"/>
            </w:r>
            <w:r>
              <w:rPr>
                <w:noProof/>
                <w:webHidden/>
              </w:rPr>
              <w:t>10</w:t>
            </w:r>
            <w:r>
              <w:rPr>
                <w:noProof/>
                <w:webHidden/>
              </w:rPr>
              <w:fldChar w:fldCharType="end"/>
            </w:r>
          </w:hyperlink>
        </w:p>
        <w:p w14:paraId="3587F281" w14:textId="359B973E" w:rsidR="00DC0B35" w:rsidRDefault="00DC0B35">
          <w:pPr>
            <w:pStyle w:val="TOC3"/>
            <w:tabs>
              <w:tab w:val="right" w:leader="dot" w:pos="9623"/>
            </w:tabs>
            <w:rPr>
              <w:rFonts w:eastAsiaTheme="minorEastAsia" w:cstheme="minorBidi"/>
              <w:noProof/>
              <w:kern w:val="2"/>
              <w:szCs w:val="24"/>
              <w:lang w:eastAsia="en-NZ"/>
              <w14:ligatures w14:val="standardContextual"/>
            </w:rPr>
          </w:pPr>
          <w:hyperlink w:anchor="_Toc223964611" w:history="1">
            <w:r w:rsidRPr="0018582F">
              <w:rPr>
                <w:rStyle w:val="Hyperlink"/>
              </w:rPr>
              <w:t>He Rautaki Ōhanga Oranga - The Economic Wellbeing Strategy</w:t>
            </w:r>
            <w:r>
              <w:rPr>
                <w:noProof/>
                <w:webHidden/>
              </w:rPr>
              <w:tab/>
            </w:r>
            <w:r>
              <w:rPr>
                <w:noProof/>
                <w:webHidden/>
              </w:rPr>
              <w:fldChar w:fldCharType="begin"/>
            </w:r>
            <w:r>
              <w:rPr>
                <w:noProof/>
                <w:webHidden/>
              </w:rPr>
              <w:instrText xml:space="preserve"> PAGEREF _Toc223964611 \h </w:instrText>
            </w:r>
            <w:r>
              <w:rPr>
                <w:noProof/>
                <w:webHidden/>
              </w:rPr>
            </w:r>
            <w:r>
              <w:rPr>
                <w:noProof/>
                <w:webHidden/>
              </w:rPr>
              <w:fldChar w:fldCharType="separate"/>
            </w:r>
            <w:r>
              <w:rPr>
                <w:noProof/>
                <w:webHidden/>
              </w:rPr>
              <w:t>10</w:t>
            </w:r>
            <w:r>
              <w:rPr>
                <w:noProof/>
                <w:webHidden/>
              </w:rPr>
              <w:fldChar w:fldCharType="end"/>
            </w:r>
          </w:hyperlink>
        </w:p>
        <w:p w14:paraId="3B6F1568" w14:textId="56B5ABE6" w:rsidR="00DC0B35" w:rsidRDefault="00DC0B35">
          <w:pPr>
            <w:pStyle w:val="TOC1"/>
            <w:rPr>
              <w:rFonts w:eastAsiaTheme="minorEastAsia" w:cstheme="minorBidi"/>
              <w:b w:val="0"/>
              <w:bCs w:val="0"/>
              <w:noProof/>
              <w:kern w:val="2"/>
              <w:sz w:val="24"/>
              <w:szCs w:val="24"/>
              <w:lang w:eastAsia="en-NZ"/>
              <w14:ligatures w14:val="standardContextual"/>
            </w:rPr>
          </w:pPr>
          <w:hyperlink w:anchor="_Toc223964612" w:history="1">
            <w:r w:rsidRPr="0018582F">
              <w:rPr>
                <w:rStyle w:val="Hyperlink"/>
              </w:rPr>
              <w:t>Indicators and trends</w:t>
            </w:r>
            <w:r>
              <w:rPr>
                <w:noProof/>
                <w:webHidden/>
              </w:rPr>
              <w:tab/>
            </w:r>
            <w:r>
              <w:rPr>
                <w:noProof/>
                <w:webHidden/>
              </w:rPr>
              <w:fldChar w:fldCharType="begin"/>
            </w:r>
            <w:r>
              <w:rPr>
                <w:noProof/>
                <w:webHidden/>
              </w:rPr>
              <w:instrText xml:space="preserve"> PAGEREF _Toc223964612 \h </w:instrText>
            </w:r>
            <w:r>
              <w:rPr>
                <w:noProof/>
                <w:webHidden/>
              </w:rPr>
            </w:r>
            <w:r>
              <w:rPr>
                <w:noProof/>
                <w:webHidden/>
              </w:rPr>
              <w:fldChar w:fldCharType="separate"/>
            </w:r>
            <w:r>
              <w:rPr>
                <w:noProof/>
                <w:webHidden/>
              </w:rPr>
              <w:t>12</w:t>
            </w:r>
            <w:r>
              <w:rPr>
                <w:noProof/>
                <w:webHidden/>
              </w:rPr>
              <w:fldChar w:fldCharType="end"/>
            </w:r>
          </w:hyperlink>
        </w:p>
        <w:p w14:paraId="2F9508C1" w14:textId="4E875292" w:rsidR="00DC0B35" w:rsidRDefault="00DC0B35">
          <w:pPr>
            <w:pStyle w:val="TOC1"/>
            <w:rPr>
              <w:rFonts w:eastAsiaTheme="minorEastAsia" w:cstheme="minorBidi"/>
              <w:b w:val="0"/>
              <w:bCs w:val="0"/>
              <w:noProof/>
              <w:kern w:val="2"/>
              <w:sz w:val="24"/>
              <w:szCs w:val="24"/>
              <w:lang w:eastAsia="en-NZ"/>
              <w14:ligatures w14:val="standardContextual"/>
            </w:rPr>
          </w:pPr>
          <w:hyperlink w:anchor="_Toc223964613" w:history="1">
            <w:r w:rsidRPr="0018582F">
              <w:rPr>
                <w:rStyle w:val="Hyperlink"/>
              </w:rPr>
              <w:t>Stakeholder views about Economic Development</w:t>
            </w:r>
            <w:r>
              <w:rPr>
                <w:noProof/>
                <w:webHidden/>
              </w:rPr>
              <w:tab/>
            </w:r>
            <w:r>
              <w:rPr>
                <w:noProof/>
                <w:webHidden/>
              </w:rPr>
              <w:fldChar w:fldCharType="begin"/>
            </w:r>
            <w:r>
              <w:rPr>
                <w:noProof/>
                <w:webHidden/>
              </w:rPr>
              <w:instrText xml:space="preserve"> PAGEREF _Toc223964613 \h </w:instrText>
            </w:r>
            <w:r>
              <w:rPr>
                <w:noProof/>
                <w:webHidden/>
              </w:rPr>
            </w:r>
            <w:r>
              <w:rPr>
                <w:noProof/>
                <w:webHidden/>
              </w:rPr>
              <w:fldChar w:fldCharType="separate"/>
            </w:r>
            <w:r>
              <w:rPr>
                <w:noProof/>
                <w:webHidden/>
              </w:rPr>
              <w:t>16</w:t>
            </w:r>
            <w:r>
              <w:rPr>
                <w:noProof/>
                <w:webHidden/>
              </w:rPr>
              <w:fldChar w:fldCharType="end"/>
            </w:r>
          </w:hyperlink>
        </w:p>
        <w:p w14:paraId="037DA304" w14:textId="5FD1F3A3" w:rsidR="00DC0B35" w:rsidRDefault="00DC0B35">
          <w:pPr>
            <w:pStyle w:val="TOC2"/>
            <w:rPr>
              <w:rFonts w:eastAsiaTheme="minorEastAsia" w:cstheme="minorBidi"/>
              <w:noProof/>
              <w:kern w:val="2"/>
              <w:szCs w:val="24"/>
              <w:lang w:eastAsia="en-NZ"/>
              <w14:ligatures w14:val="standardContextual"/>
            </w:rPr>
          </w:pPr>
          <w:hyperlink w:anchor="_Toc223964614" w:history="1">
            <w:r w:rsidRPr="0018582F">
              <w:rPr>
                <w:rStyle w:val="Hyperlink"/>
              </w:rPr>
              <w:t>Tākai Here partnership</w:t>
            </w:r>
            <w:r>
              <w:rPr>
                <w:noProof/>
                <w:webHidden/>
              </w:rPr>
              <w:tab/>
            </w:r>
            <w:r>
              <w:rPr>
                <w:noProof/>
                <w:webHidden/>
              </w:rPr>
              <w:fldChar w:fldCharType="begin"/>
            </w:r>
            <w:r>
              <w:rPr>
                <w:noProof/>
                <w:webHidden/>
              </w:rPr>
              <w:instrText xml:space="preserve"> PAGEREF _Toc223964614 \h </w:instrText>
            </w:r>
            <w:r>
              <w:rPr>
                <w:noProof/>
                <w:webHidden/>
              </w:rPr>
            </w:r>
            <w:r>
              <w:rPr>
                <w:noProof/>
                <w:webHidden/>
              </w:rPr>
              <w:fldChar w:fldCharType="separate"/>
            </w:r>
            <w:r>
              <w:rPr>
                <w:noProof/>
                <w:webHidden/>
              </w:rPr>
              <w:t>18</w:t>
            </w:r>
            <w:r>
              <w:rPr>
                <w:noProof/>
                <w:webHidden/>
              </w:rPr>
              <w:fldChar w:fldCharType="end"/>
            </w:r>
          </w:hyperlink>
        </w:p>
        <w:p w14:paraId="05E38E33" w14:textId="0B0ECD7E" w:rsidR="00DC0B35" w:rsidRDefault="00DC0B35">
          <w:pPr>
            <w:pStyle w:val="TOC1"/>
            <w:rPr>
              <w:rFonts w:eastAsiaTheme="minorEastAsia" w:cstheme="minorBidi"/>
              <w:b w:val="0"/>
              <w:bCs w:val="0"/>
              <w:noProof/>
              <w:kern w:val="2"/>
              <w:sz w:val="24"/>
              <w:szCs w:val="24"/>
              <w:lang w:eastAsia="en-NZ"/>
              <w14:ligatures w14:val="standardContextual"/>
            </w:rPr>
          </w:pPr>
          <w:hyperlink w:anchor="_Toc223964615" w:history="1">
            <w:r w:rsidRPr="0018582F">
              <w:rPr>
                <w:rStyle w:val="Hyperlink"/>
              </w:rPr>
              <w:t>Key issues and opportunities</w:t>
            </w:r>
            <w:r>
              <w:rPr>
                <w:noProof/>
                <w:webHidden/>
              </w:rPr>
              <w:tab/>
            </w:r>
            <w:r>
              <w:rPr>
                <w:noProof/>
                <w:webHidden/>
              </w:rPr>
              <w:fldChar w:fldCharType="begin"/>
            </w:r>
            <w:r>
              <w:rPr>
                <w:noProof/>
                <w:webHidden/>
              </w:rPr>
              <w:instrText xml:space="preserve"> PAGEREF _Toc223964615 \h </w:instrText>
            </w:r>
            <w:r>
              <w:rPr>
                <w:noProof/>
                <w:webHidden/>
              </w:rPr>
            </w:r>
            <w:r>
              <w:rPr>
                <w:noProof/>
                <w:webHidden/>
              </w:rPr>
              <w:fldChar w:fldCharType="separate"/>
            </w:r>
            <w:r>
              <w:rPr>
                <w:noProof/>
                <w:webHidden/>
              </w:rPr>
              <w:t>19</w:t>
            </w:r>
            <w:r>
              <w:rPr>
                <w:noProof/>
                <w:webHidden/>
              </w:rPr>
              <w:fldChar w:fldCharType="end"/>
            </w:r>
          </w:hyperlink>
        </w:p>
        <w:p w14:paraId="05D2E16B" w14:textId="348BA016" w:rsidR="00DC0B35" w:rsidRDefault="00DC0B35">
          <w:pPr>
            <w:pStyle w:val="TOC2"/>
            <w:rPr>
              <w:rFonts w:eastAsiaTheme="minorEastAsia" w:cstheme="minorBidi"/>
              <w:noProof/>
              <w:kern w:val="2"/>
              <w:szCs w:val="24"/>
              <w:lang w:eastAsia="en-NZ"/>
              <w14:ligatures w14:val="standardContextual"/>
            </w:rPr>
          </w:pPr>
          <w:hyperlink w:anchor="_Toc223964616" w:history="1">
            <w:r w:rsidRPr="0018582F">
              <w:rPr>
                <w:rStyle w:val="Hyperlink"/>
              </w:rPr>
              <w:t>High concentration in a few sectors, opportunities to leverage strengths and diversity</w:t>
            </w:r>
            <w:r>
              <w:rPr>
                <w:noProof/>
                <w:webHidden/>
              </w:rPr>
              <w:tab/>
            </w:r>
            <w:r>
              <w:rPr>
                <w:noProof/>
                <w:webHidden/>
              </w:rPr>
              <w:fldChar w:fldCharType="begin"/>
            </w:r>
            <w:r>
              <w:rPr>
                <w:noProof/>
                <w:webHidden/>
              </w:rPr>
              <w:instrText xml:space="preserve"> PAGEREF _Toc223964616 \h </w:instrText>
            </w:r>
            <w:r>
              <w:rPr>
                <w:noProof/>
                <w:webHidden/>
              </w:rPr>
            </w:r>
            <w:r>
              <w:rPr>
                <w:noProof/>
                <w:webHidden/>
              </w:rPr>
              <w:fldChar w:fldCharType="separate"/>
            </w:r>
            <w:r>
              <w:rPr>
                <w:noProof/>
                <w:webHidden/>
              </w:rPr>
              <w:t>20</w:t>
            </w:r>
            <w:r>
              <w:rPr>
                <w:noProof/>
                <w:webHidden/>
              </w:rPr>
              <w:fldChar w:fldCharType="end"/>
            </w:r>
          </w:hyperlink>
        </w:p>
        <w:p w14:paraId="061E83C4" w14:textId="0C06B107" w:rsidR="00DC0B35" w:rsidRDefault="00DC0B35">
          <w:pPr>
            <w:pStyle w:val="TOC2"/>
            <w:rPr>
              <w:rFonts w:eastAsiaTheme="minorEastAsia" w:cstheme="minorBidi"/>
              <w:noProof/>
              <w:kern w:val="2"/>
              <w:szCs w:val="24"/>
              <w:lang w:eastAsia="en-NZ"/>
              <w14:ligatures w14:val="standardContextual"/>
            </w:rPr>
          </w:pPr>
          <w:hyperlink w:anchor="_Toc223964617" w:history="1">
            <w:r w:rsidRPr="0018582F">
              <w:rPr>
                <w:rStyle w:val="Hyperlink"/>
              </w:rPr>
              <w:t>Decline in central city vibrancy, high operating costs, and impact of disruption on businesses</w:t>
            </w:r>
            <w:r>
              <w:rPr>
                <w:noProof/>
                <w:webHidden/>
              </w:rPr>
              <w:tab/>
            </w:r>
            <w:r>
              <w:rPr>
                <w:noProof/>
                <w:webHidden/>
              </w:rPr>
              <w:fldChar w:fldCharType="begin"/>
            </w:r>
            <w:r>
              <w:rPr>
                <w:noProof/>
                <w:webHidden/>
              </w:rPr>
              <w:instrText xml:space="preserve"> PAGEREF _Toc223964617 \h </w:instrText>
            </w:r>
            <w:r>
              <w:rPr>
                <w:noProof/>
                <w:webHidden/>
              </w:rPr>
            </w:r>
            <w:r>
              <w:rPr>
                <w:noProof/>
                <w:webHidden/>
              </w:rPr>
              <w:fldChar w:fldCharType="separate"/>
            </w:r>
            <w:r>
              <w:rPr>
                <w:noProof/>
                <w:webHidden/>
              </w:rPr>
              <w:t>21</w:t>
            </w:r>
            <w:r>
              <w:rPr>
                <w:noProof/>
                <w:webHidden/>
              </w:rPr>
              <w:fldChar w:fldCharType="end"/>
            </w:r>
          </w:hyperlink>
        </w:p>
        <w:p w14:paraId="5BB1AB07" w14:textId="6D20ABF7" w:rsidR="00DC0B35" w:rsidRDefault="00DC0B35">
          <w:pPr>
            <w:pStyle w:val="TOC3"/>
            <w:tabs>
              <w:tab w:val="right" w:leader="dot" w:pos="9623"/>
            </w:tabs>
            <w:rPr>
              <w:rFonts w:eastAsiaTheme="minorEastAsia" w:cstheme="minorBidi"/>
              <w:noProof/>
              <w:kern w:val="2"/>
              <w:szCs w:val="24"/>
              <w:lang w:eastAsia="en-NZ"/>
              <w14:ligatures w14:val="standardContextual"/>
            </w:rPr>
          </w:pPr>
          <w:hyperlink w:anchor="_Toc223964618" w:history="1">
            <w:r w:rsidRPr="0018582F">
              <w:rPr>
                <w:rStyle w:val="Hyperlink"/>
              </w:rPr>
              <w:t>Elevated business input costs and Council-business relationships</w:t>
            </w:r>
            <w:r>
              <w:rPr>
                <w:noProof/>
                <w:webHidden/>
              </w:rPr>
              <w:tab/>
            </w:r>
            <w:r>
              <w:rPr>
                <w:noProof/>
                <w:webHidden/>
              </w:rPr>
              <w:fldChar w:fldCharType="begin"/>
            </w:r>
            <w:r>
              <w:rPr>
                <w:noProof/>
                <w:webHidden/>
              </w:rPr>
              <w:instrText xml:space="preserve"> PAGEREF _Toc223964618 \h </w:instrText>
            </w:r>
            <w:r>
              <w:rPr>
                <w:noProof/>
                <w:webHidden/>
              </w:rPr>
            </w:r>
            <w:r>
              <w:rPr>
                <w:noProof/>
                <w:webHidden/>
              </w:rPr>
              <w:fldChar w:fldCharType="separate"/>
            </w:r>
            <w:r>
              <w:rPr>
                <w:noProof/>
                <w:webHidden/>
              </w:rPr>
              <w:t>21</w:t>
            </w:r>
            <w:r>
              <w:rPr>
                <w:noProof/>
                <w:webHidden/>
              </w:rPr>
              <w:fldChar w:fldCharType="end"/>
            </w:r>
          </w:hyperlink>
        </w:p>
        <w:p w14:paraId="49FB078E" w14:textId="48A2145E" w:rsidR="00DC0B35" w:rsidRDefault="00DC0B35">
          <w:pPr>
            <w:pStyle w:val="TOC2"/>
            <w:rPr>
              <w:rFonts w:eastAsiaTheme="minorEastAsia" w:cstheme="minorBidi"/>
              <w:noProof/>
              <w:kern w:val="2"/>
              <w:szCs w:val="24"/>
              <w:lang w:eastAsia="en-NZ"/>
              <w14:ligatures w14:val="standardContextual"/>
            </w:rPr>
          </w:pPr>
          <w:hyperlink w:anchor="_Toc223964619" w:history="1">
            <w:r w:rsidRPr="0018582F">
              <w:rPr>
                <w:rStyle w:val="Hyperlink"/>
              </w:rPr>
              <w:t>Building climate resilience, and opportunities for growth through innovation</w:t>
            </w:r>
            <w:r>
              <w:rPr>
                <w:noProof/>
                <w:webHidden/>
              </w:rPr>
              <w:tab/>
            </w:r>
            <w:r>
              <w:rPr>
                <w:noProof/>
                <w:webHidden/>
              </w:rPr>
              <w:fldChar w:fldCharType="begin"/>
            </w:r>
            <w:r>
              <w:rPr>
                <w:noProof/>
                <w:webHidden/>
              </w:rPr>
              <w:instrText xml:space="preserve"> PAGEREF _Toc223964619 \h </w:instrText>
            </w:r>
            <w:r>
              <w:rPr>
                <w:noProof/>
                <w:webHidden/>
              </w:rPr>
            </w:r>
            <w:r>
              <w:rPr>
                <w:noProof/>
                <w:webHidden/>
              </w:rPr>
              <w:fldChar w:fldCharType="separate"/>
            </w:r>
            <w:r>
              <w:rPr>
                <w:noProof/>
                <w:webHidden/>
              </w:rPr>
              <w:t>22</w:t>
            </w:r>
            <w:r>
              <w:rPr>
                <w:noProof/>
                <w:webHidden/>
              </w:rPr>
              <w:fldChar w:fldCharType="end"/>
            </w:r>
          </w:hyperlink>
        </w:p>
        <w:p w14:paraId="3E5DAE86" w14:textId="0F1C66DA" w:rsidR="00DC0B35" w:rsidRDefault="00DC0B35">
          <w:pPr>
            <w:pStyle w:val="TOC2"/>
            <w:rPr>
              <w:rFonts w:eastAsiaTheme="minorEastAsia" w:cstheme="minorBidi"/>
              <w:noProof/>
              <w:kern w:val="2"/>
              <w:szCs w:val="24"/>
              <w:lang w:eastAsia="en-NZ"/>
              <w14:ligatures w14:val="standardContextual"/>
            </w:rPr>
          </w:pPr>
          <w:hyperlink w:anchor="_Toc223964620" w:history="1">
            <w:r w:rsidRPr="0018582F">
              <w:rPr>
                <w:rStyle w:val="Hyperlink"/>
              </w:rPr>
              <w:t>Opportunities for inclusive growth through equity and diverse economic participation</w:t>
            </w:r>
            <w:r>
              <w:rPr>
                <w:noProof/>
                <w:webHidden/>
              </w:rPr>
              <w:tab/>
            </w:r>
            <w:r>
              <w:rPr>
                <w:noProof/>
                <w:webHidden/>
              </w:rPr>
              <w:fldChar w:fldCharType="begin"/>
            </w:r>
            <w:r>
              <w:rPr>
                <w:noProof/>
                <w:webHidden/>
              </w:rPr>
              <w:instrText xml:space="preserve"> PAGEREF _Toc223964620 \h </w:instrText>
            </w:r>
            <w:r>
              <w:rPr>
                <w:noProof/>
                <w:webHidden/>
              </w:rPr>
            </w:r>
            <w:r>
              <w:rPr>
                <w:noProof/>
                <w:webHidden/>
              </w:rPr>
              <w:fldChar w:fldCharType="separate"/>
            </w:r>
            <w:r>
              <w:rPr>
                <w:noProof/>
                <w:webHidden/>
              </w:rPr>
              <w:t>23</w:t>
            </w:r>
            <w:r>
              <w:rPr>
                <w:noProof/>
                <w:webHidden/>
              </w:rPr>
              <w:fldChar w:fldCharType="end"/>
            </w:r>
          </w:hyperlink>
        </w:p>
        <w:p w14:paraId="2AFD1FA6" w14:textId="284090DA" w:rsidR="00DC0B35" w:rsidRDefault="00DC0B35">
          <w:pPr>
            <w:pStyle w:val="TOC3"/>
            <w:tabs>
              <w:tab w:val="right" w:leader="dot" w:pos="9623"/>
            </w:tabs>
            <w:rPr>
              <w:rFonts w:eastAsiaTheme="minorEastAsia" w:cstheme="minorBidi"/>
              <w:noProof/>
              <w:kern w:val="2"/>
              <w:szCs w:val="24"/>
              <w:lang w:eastAsia="en-NZ"/>
              <w14:ligatures w14:val="standardContextual"/>
            </w:rPr>
          </w:pPr>
          <w:hyperlink w:anchor="_Toc223964621" w:history="1">
            <w:r w:rsidRPr="0018582F">
              <w:rPr>
                <w:rStyle w:val="Hyperlink"/>
              </w:rPr>
              <w:t>Māori economy</w:t>
            </w:r>
            <w:r>
              <w:rPr>
                <w:noProof/>
                <w:webHidden/>
              </w:rPr>
              <w:tab/>
            </w:r>
            <w:r>
              <w:rPr>
                <w:noProof/>
                <w:webHidden/>
              </w:rPr>
              <w:fldChar w:fldCharType="begin"/>
            </w:r>
            <w:r>
              <w:rPr>
                <w:noProof/>
                <w:webHidden/>
              </w:rPr>
              <w:instrText xml:space="preserve"> PAGEREF _Toc223964621 \h </w:instrText>
            </w:r>
            <w:r>
              <w:rPr>
                <w:noProof/>
                <w:webHidden/>
              </w:rPr>
            </w:r>
            <w:r>
              <w:rPr>
                <w:noProof/>
                <w:webHidden/>
              </w:rPr>
              <w:fldChar w:fldCharType="separate"/>
            </w:r>
            <w:r>
              <w:rPr>
                <w:noProof/>
                <w:webHidden/>
              </w:rPr>
              <w:t>23</w:t>
            </w:r>
            <w:r>
              <w:rPr>
                <w:noProof/>
                <w:webHidden/>
              </w:rPr>
              <w:fldChar w:fldCharType="end"/>
            </w:r>
          </w:hyperlink>
        </w:p>
        <w:p w14:paraId="4BB3FC65" w14:textId="6F654250" w:rsidR="00DC0B35" w:rsidRDefault="00DC0B35">
          <w:pPr>
            <w:pStyle w:val="TOC3"/>
            <w:tabs>
              <w:tab w:val="right" w:leader="dot" w:pos="9623"/>
            </w:tabs>
            <w:rPr>
              <w:rFonts w:eastAsiaTheme="minorEastAsia" w:cstheme="minorBidi"/>
              <w:noProof/>
              <w:kern w:val="2"/>
              <w:szCs w:val="24"/>
              <w:lang w:eastAsia="en-NZ"/>
              <w14:ligatures w14:val="standardContextual"/>
            </w:rPr>
          </w:pPr>
          <w:hyperlink w:anchor="_Toc223964622" w:history="1">
            <w:r w:rsidRPr="0018582F">
              <w:rPr>
                <w:rStyle w:val="Hyperlink"/>
              </w:rPr>
              <w:t>Access to employment for the disabled and elderly communities</w:t>
            </w:r>
            <w:r>
              <w:rPr>
                <w:noProof/>
                <w:webHidden/>
              </w:rPr>
              <w:tab/>
            </w:r>
            <w:r>
              <w:rPr>
                <w:noProof/>
                <w:webHidden/>
              </w:rPr>
              <w:fldChar w:fldCharType="begin"/>
            </w:r>
            <w:r>
              <w:rPr>
                <w:noProof/>
                <w:webHidden/>
              </w:rPr>
              <w:instrText xml:space="preserve"> PAGEREF _Toc223964622 \h </w:instrText>
            </w:r>
            <w:r>
              <w:rPr>
                <w:noProof/>
                <w:webHidden/>
              </w:rPr>
            </w:r>
            <w:r>
              <w:rPr>
                <w:noProof/>
                <w:webHidden/>
              </w:rPr>
              <w:fldChar w:fldCharType="separate"/>
            </w:r>
            <w:r>
              <w:rPr>
                <w:noProof/>
                <w:webHidden/>
              </w:rPr>
              <w:t>23</w:t>
            </w:r>
            <w:r>
              <w:rPr>
                <w:noProof/>
                <w:webHidden/>
              </w:rPr>
              <w:fldChar w:fldCharType="end"/>
            </w:r>
          </w:hyperlink>
        </w:p>
        <w:p w14:paraId="52E68768" w14:textId="1C7E39B3" w:rsidR="00DC0B35" w:rsidRDefault="00DC0B35">
          <w:pPr>
            <w:pStyle w:val="TOC2"/>
            <w:rPr>
              <w:rFonts w:eastAsiaTheme="minorEastAsia" w:cstheme="minorBidi"/>
              <w:noProof/>
              <w:kern w:val="2"/>
              <w:szCs w:val="24"/>
              <w:lang w:eastAsia="en-NZ"/>
              <w14:ligatures w14:val="standardContextual"/>
            </w:rPr>
          </w:pPr>
          <w:hyperlink w:anchor="_Toc223964623" w:history="1">
            <w:r w:rsidRPr="0018582F">
              <w:rPr>
                <w:rStyle w:val="Hyperlink"/>
              </w:rPr>
              <w:t>Role clarity and co-ordination required to improve effectiveness of economic development</w:t>
            </w:r>
            <w:r>
              <w:rPr>
                <w:noProof/>
                <w:webHidden/>
              </w:rPr>
              <w:tab/>
            </w:r>
            <w:r>
              <w:rPr>
                <w:noProof/>
                <w:webHidden/>
              </w:rPr>
              <w:fldChar w:fldCharType="begin"/>
            </w:r>
            <w:r>
              <w:rPr>
                <w:noProof/>
                <w:webHidden/>
              </w:rPr>
              <w:instrText xml:space="preserve"> PAGEREF _Toc223964623 \h </w:instrText>
            </w:r>
            <w:r>
              <w:rPr>
                <w:noProof/>
                <w:webHidden/>
              </w:rPr>
            </w:r>
            <w:r>
              <w:rPr>
                <w:noProof/>
                <w:webHidden/>
              </w:rPr>
              <w:fldChar w:fldCharType="separate"/>
            </w:r>
            <w:r>
              <w:rPr>
                <w:noProof/>
                <w:webHidden/>
              </w:rPr>
              <w:t>24</w:t>
            </w:r>
            <w:r>
              <w:rPr>
                <w:noProof/>
                <w:webHidden/>
              </w:rPr>
              <w:fldChar w:fldCharType="end"/>
            </w:r>
          </w:hyperlink>
        </w:p>
        <w:p w14:paraId="4BC86719" w14:textId="70E57D04" w:rsidR="006E404C" w:rsidRDefault="3C7EFEEB" w:rsidP="006E404C">
          <w:pPr>
            <w:pStyle w:val="TOC1"/>
          </w:pPr>
          <w:r>
            <w:fldChar w:fldCharType="end"/>
          </w:r>
        </w:p>
      </w:sdtContent>
    </w:sdt>
    <w:p w14:paraId="5149AAAB" w14:textId="28FEA338" w:rsidR="0060789E" w:rsidRPr="006E404C" w:rsidRDefault="0060789E" w:rsidP="006E404C">
      <w:pPr>
        <w:pStyle w:val="TOC1"/>
        <w:rPr>
          <w:rFonts w:ascii="Arial" w:hAnsi="Arial"/>
          <w:noProof/>
          <w:kern w:val="2"/>
          <w:sz w:val="22"/>
          <w:lang w:eastAsia="en-NZ"/>
          <w14:ligatures w14:val="standardContextual"/>
        </w:rPr>
      </w:pPr>
      <w:r>
        <w:rPr>
          <w:rFonts w:cstheme="minorBidi"/>
          <w:sz w:val="40"/>
          <w:szCs w:val="40"/>
        </w:rPr>
        <w:br w:type="page"/>
      </w:r>
    </w:p>
    <w:p w14:paraId="79B6433F" w14:textId="3B47EC86" w:rsidR="00FE54F6" w:rsidRPr="00E6041E" w:rsidRDefault="00FE54F6" w:rsidP="3C7EFEEB">
      <w:pPr>
        <w:pStyle w:val="Heading1"/>
        <w:rPr>
          <w:rFonts w:asciiTheme="minorHAnsi" w:hAnsiTheme="minorHAnsi" w:cstheme="minorBidi"/>
          <w:sz w:val="40"/>
          <w:szCs w:val="40"/>
        </w:rPr>
      </w:pPr>
      <w:bookmarkStart w:id="9" w:name="_Toc223964602"/>
      <w:r w:rsidRPr="3C7EFEEB">
        <w:rPr>
          <w:rFonts w:asciiTheme="minorHAnsi" w:hAnsiTheme="minorHAnsi" w:cstheme="minorBidi"/>
          <w:sz w:val="40"/>
          <w:szCs w:val="40"/>
        </w:rPr>
        <w:t>Purpose</w:t>
      </w:r>
      <w:bookmarkEnd w:id="9"/>
    </w:p>
    <w:p w14:paraId="28930EF8" w14:textId="5093B422" w:rsidR="0045520F" w:rsidRDefault="0045520F" w:rsidP="0045520F">
      <w:pPr>
        <w:spacing w:line="276" w:lineRule="auto"/>
        <w:rPr>
          <w:rFonts w:cstheme="minorBidi"/>
          <w:sz w:val="24"/>
          <w:szCs w:val="24"/>
        </w:rPr>
      </w:pPr>
      <w:r w:rsidRPr="0045520F">
        <w:rPr>
          <w:rFonts w:cstheme="minorBidi"/>
          <w:sz w:val="24"/>
          <w:szCs w:val="24"/>
        </w:rPr>
        <w:t>This background report provides a clear, evidence</w:t>
      </w:r>
      <w:r w:rsidRPr="0045520F">
        <w:rPr>
          <w:rFonts w:ascii="Cambria Math" w:hAnsi="Cambria Math" w:cs="Cambria Math"/>
          <w:sz w:val="24"/>
          <w:szCs w:val="24"/>
        </w:rPr>
        <w:t>‑</w:t>
      </w:r>
      <w:r w:rsidRPr="0045520F">
        <w:rPr>
          <w:rFonts w:cstheme="minorBidi"/>
          <w:sz w:val="24"/>
          <w:szCs w:val="24"/>
        </w:rPr>
        <w:t>based overview of Wellington City Council</w:t>
      </w:r>
      <w:r w:rsidRPr="0045520F">
        <w:rPr>
          <w:rFonts w:ascii="Arial" w:hAnsi="Arial" w:cs="Arial"/>
          <w:sz w:val="24"/>
          <w:szCs w:val="24"/>
        </w:rPr>
        <w:t>’</w:t>
      </w:r>
      <w:r w:rsidRPr="0045520F">
        <w:rPr>
          <w:rFonts w:cstheme="minorBidi"/>
          <w:sz w:val="24"/>
          <w:szCs w:val="24"/>
        </w:rPr>
        <w:t xml:space="preserve">s </w:t>
      </w:r>
      <w:r>
        <w:rPr>
          <w:rFonts w:cstheme="minorBidi"/>
          <w:sz w:val="24"/>
          <w:szCs w:val="24"/>
        </w:rPr>
        <w:t>Economic Development</w:t>
      </w:r>
      <w:r w:rsidRPr="0045520F">
        <w:rPr>
          <w:rFonts w:cstheme="minorBidi"/>
          <w:sz w:val="24"/>
          <w:szCs w:val="24"/>
        </w:rPr>
        <w:t xml:space="preserve"> activity. It sets out what the Council does, why it does it, how it is funded, how it is performing, and the key issues shaping future choices.</w:t>
      </w:r>
    </w:p>
    <w:p w14:paraId="3769DB93" w14:textId="77777777" w:rsidR="0045520F" w:rsidRPr="0045520F" w:rsidRDefault="0045520F" w:rsidP="0045520F">
      <w:pPr>
        <w:spacing w:line="276" w:lineRule="auto"/>
        <w:rPr>
          <w:rFonts w:cstheme="minorBidi"/>
          <w:sz w:val="24"/>
          <w:szCs w:val="24"/>
        </w:rPr>
      </w:pPr>
    </w:p>
    <w:p w14:paraId="2CB204E1" w14:textId="67D68131" w:rsidR="0045520F" w:rsidRPr="0045520F" w:rsidRDefault="0045520F" w:rsidP="0045520F">
      <w:pPr>
        <w:spacing w:line="276" w:lineRule="auto"/>
        <w:rPr>
          <w:rFonts w:cstheme="minorBidi"/>
          <w:sz w:val="24"/>
          <w:szCs w:val="24"/>
        </w:rPr>
      </w:pPr>
      <w:r w:rsidRPr="0045520F">
        <w:rPr>
          <w:rFonts w:cstheme="minorBidi"/>
          <w:sz w:val="24"/>
          <w:szCs w:val="24"/>
        </w:rPr>
        <w:t xml:space="preserve">The report is intended to support informed engagement with the Council’s role in </w:t>
      </w:r>
      <w:r>
        <w:rPr>
          <w:rFonts w:cstheme="minorBidi"/>
          <w:sz w:val="24"/>
          <w:szCs w:val="24"/>
        </w:rPr>
        <w:t>economic development</w:t>
      </w:r>
      <w:r w:rsidRPr="0045520F">
        <w:rPr>
          <w:rFonts w:cstheme="minorBidi"/>
          <w:sz w:val="24"/>
          <w:szCs w:val="24"/>
        </w:rPr>
        <w:t>. It provides advisory groups with shared context on Council responsibilities, settings, constraints, and strategic direction, and supports elected members by bringing together relevant information, performance insights, stakeholder views, and emerging challenges to inform deliberations through the Long-term Plan (LTP) 2027–2037 process.</w:t>
      </w:r>
    </w:p>
    <w:p w14:paraId="0165943E" w14:textId="77777777" w:rsidR="0045520F" w:rsidRDefault="0045520F" w:rsidP="0045520F">
      <w:pPr>
        <w:spacing w:line="276" w:lineRule="auto"/>
        <w:rPr>
          <w:rFonts w:cstheme="minorBidi"/>
          <w:sz w:val="24"/>
          <w:szCs w:val="24"/>
        </w:rPr>
      </w:pPr>
    </w:p>
    <w:p w14:paraId="1856B593" w14:textId="07FAE069" w:rsidR="00505D86" w:rsidRPr="00E6041E" w:rsidRDefault="0045520F" w:rsidP="0045520F">
      <w:pPr>
        <w:spacing w:line="276" w:lineRule="auto"/>
        <w:rPr>
          <w:rFonts w:eastAsia="MS Gothic" w:cstheme="minorHAnsi"/>
          <w:sz w:val="24"/>
          <w:szCs w:val="24"/>
        </w:rPr>
      </w:pPr>
      <w:r w:rsidRPr="0045520F">
        <w:rPr>
          <w:rFonts w:cstheme="minorBidi"/>
          <w:sz w:val="24"/>
          <w:szCs w:val="24"/>
        </w:rPr>
        <w:t>This is not a strategy or a set of recommendations. Rather, it is a foundation document that identifies current settings, pressures, and opportunities, and surfaces the key trade</w:t>
      </w:r>
      <w:r w:rsidRPr="0045520F">
        <w:rPr>
          <w:rFonts w:ascii="Cambria Math" w:hAnsi="Cambria Math" w:cs="Cambria Math"/>
          <w:sz w:val="24"/>
          <w:szCs w:val="24"/>
        </w:rPr>
        <w:t>‑</w:t>
      </w:r>
      <w:r w:rsidRPr="0045520F">
        <w:rPr>
          <w:rFonts w:cstheme="minorBidi"/>
          <w:sz w:val="24"/>
          <w:szCs w:val="24"/>
        </w:rPr>
        <w:t xml:space="preserve">offs that will need to be considered as the Council refreshes its strategic direction and investment approach for </w:t>
      </w:r>
      <w:r>
        <w:rPr>
          <w:rFonts w:cstheme="minorBidi"/>
          <w:sz w:val="24"/>
          <w:szCs w:val="24"/>
        </w:rPr>
        <w:t>economic development</w:t>
      </w:r>
      <w:r w:rsidRPr="0045520F">
        <w:rPr>
          <w:rFonts w:cstheme="minorBidi"/>
          <w:sz w:val="24"/>
          <w:szCs w:val="24"/>
        </w:rPr>
        <w:t xml:space="preserve"> within a constrained fiscal environment.</w:t>
      </w:r>
    </w:p>
    <w:p w14:paraId="46EB4857" w14:textId="77777777" w:rsidR="0045520F" w:rsidRDefault="0045520F" w:rsidP="0045520F">
      <w:pPr>
        <w:spacing w:line="276" w:lineRule="auto"/>
        <w:rPr>
          <w:rFonts w:eastAsia="MS Gothic" w:cstheme="minorHAnsi"/>
          <w:sz w:val="24"/>
          <w:szCs w:val="24"/>
        </w:rPr>
      </w:pPr>
    </w:p>
    <w:p w14:paraId="7D93D457" w14:textId="6B9410DF" w:rsidR="002A05AF" w:rsidRPr="00E6041E" w:rsidRDefault="002A05AF" w:rsidP="002A05AF">
      <w:pPr>
        <w:pStyle w:val="Heading2"/>
      </w:pPr>
      <w:bookmarkStart w:id="10" w:name="_Toc223964603"/>
      <w:r>
        <w:t>Council Activities</w:t>
      </w:r>
      <w:bookmarkEnd w:id="10"/>
    </w:p>
    <w:p w14:paraId="47E1BFA4" w14:textId="77777777" w:rsidR="00025444" w:rsidRPr="00E6041E" w:rsidRDefault="2496096B" w:rsidP="00FD0FE2">
      <w:pPr>
        <w:spacing w:line="276" w:lineRule="auto"/>
        <w:rPr>
          <w:rFonts w:eastAsia="MS Gothic" w:cstheme="minorHAnsi"/>
          <w:sz w:val="24"/>
          <w:szCs w:val="24"/>
        </w:rPr>
      </w:pPr>
      <w:r w:rsidRPr="00E6041E">
        <w:rPr>
          <w:rFonts w:eastAsia="MS Gothic" w:cstheme="minorHAnsi"/>
          <w:sz w:val="24"/>
          <w:szCs w:val="24"/>
        </w:rPr>
        <w:t xml:space="preserve">A Council ‘activity’ is a formal Local Government Act 2002 (LGA 2002) term to refer to Council goods and services. Council activities are grouped for the purposes of the Long-term Plan and budgets – some are relatively stand-alone like transport. </w:t>
      </w:r>
    </w:p>
    <w:p w14:paraId="762E3C7E" w14:textId="295BF564" w:rsidR="009F31E3" w:rsidRPr="00E6041E" w:rsidRDefault="2496096B" w:rsidP="00FD0FE2">
      <w:pPr>
        <w:spacing w:line="276" w:lineRule="auto"/>
        <w:rPr>
          <w:rFonts w:eastAsia="MS Gothic" w:cstheme="minorHAnsi"/>
          <w:sz w:val="24"/>
          <w:szCs w:val="24"/>
        </w:rPr>
      </w:pPr>
      <w:r w:rsidRPr="00E6041E">
        <w:rPr>
          <w:rFonts w:eastAsia="MS Gothic" w:cstheme="minorHAnsi"/>
          <w:sz w:val="24"/>
          <w:szCs w:val="24"/>
        </w:rPr>
        <w:t>This group of activities includes:</w:t>
      </w:r>
    </w:p>
    <w:p w14:paraId="72CE2C30" w14:textId="1E861AEA" w:rsidR="25C5624D" w:rsidRPr="00E6041E" w:rsidRDefault="25C5624D" w:rsidP="00FD0FE2">
      <w:pPr>
        <w:spacing w:line="276" w:lineRule="auto"/>
        <w:rPr>
          <w:rFonts w:eastAsia="MS Gothic" w:cstheme="minorHAnsi"/>
          <w:sz w:val="24"/>
          <w:szCs w:val="24"/>
        </w:rPr>
      </w:pPr>
    </w:p>
    <w:p w14:paraId="40FF24A7" w14:textId="4E81B456" w:rsidR="005220F6" w:rsidRPr="00E6041E" w:rsidRDefault="005220F6" w:rsidP="4E0FE161">
      <w:pPr>
        <w:rPr>
          <w:rFonts w:eastAsia="MS Gothic" w:cstheme="minorHAnsi"/>
          <w:sz w:val="24"/>
          <w:szCs w:val="24"/>
        </w:rPr>
      </w:pPr>
      <w:r w:rsidRPr="00E6041E">
        <w:rPr>
          <w:rFonts w:eastAsia="MS Gothic" w:cstheme="minorHAnsi"/>
          <w:sz w:val="24"/>
          <w:szCs w:val="24"/>
        </w:rPr>
        <w:t>3.1 City Promotions and business support</w:t>
      </w:r>
    </w:p>
    <w:p w14:paraId="6671BC69" w14:textId="79039F59" w:rsidR="005220F6" w:rsidRPr="00E6041E" w:rsidRDefault="21BCB22D" w:rsidP="00655D77">
      <w:pPr>
        <w:ind w:left="709"/>
        <w:rPr>
          <w:rFonts w:eastAsia="MS Gothic" w:cstheme="minorHAnsi"/>
          <w:sz w:val="24"/>
          <w:szCs w:val="24"/>
        </w:rPr>
      </w:pPr>
      <w:r w:rsidRPr="00E6041E">
        <w:rPr>
          <w:rFonts w:eastAsia="MS Gothic" w:cstheme="minorHAnsi"/>
          <w:sz w:val="24"/>
          <w:szCs w:val="24"/>
        </w:rPr>
        <w:t>3.1.1</w:t>
      </w:r>
      <w:r w:rsidR="0011354D" w:rsidRPr="00E6041E">
        <w:rPr>
          <w:rFonts w:eastAsia="MS Gothic" w:cstheme="minorHAnsi"/>
        </w:rPr>
        <w:tab/>
      </w:r>
      <w:r w:rsidRPr="00E6041E">
        <w:rPr>
          <w:rFonts w:eastAsia="MS Gothic" w:cstheme="minorHAnsi"/>
          <w:sz w:val="24"/>
          <w:szCs w:val="24"/>
        </w:rPr>
        <w:t>WellingtonNZ and Venues Wellington</w:t>
      </w:r>
    </w:p>
    <w:p w14:paraId="3325D026" w14:textId="2B5009EF" w:rsidR="00DB2221" w:rsidRPr="00E6041E" w:rsidRDefault="21BCB22D" w:rsidP="00655D77">
      <w:pPr>
        <w:ind w:left="709"/>
        <w:rPr>
          <w:rFonts w:eastAsia="MS Gothic" w:cstheme="minorHAnsi"/>
          <w:sz w:val="24"/>
          <w:szCs w:val="24"/>
        </w:rPr>
      </w:pPr>
      <w:r w:rsidRPr="00E6041E">
        <w:rPr>
          <w:rFonts w:eastAsia="MS Gothic" w:cstheme="minorHAnsi"/>
          <w:sz w:val="24"/>
          <w:szCs w:val="24"/>
        </w:rPr>
        <w:t>3.1.2</w:t>
      </w:r>
      <w:r w:rsidR="0011354D" w:rsidRPr="00E6041E">
        <w:rPr>
          <w:rFonts w:eastAsia="MS Gothic" w:cstheme="minorHAnsi"/>
        </w:rPr>
        <w:tab/>
      </w:r>
      <w:r w:rsidRPr="00E6041E">
        <w:rPr>
          <w:rFonts w:eastAsia="MS Gothic" w:cstheme="minorHAnsi"/>
          <w:sz w:val="24"/>
          <w:szCs w:val="24"/>
        </w:rPr>
        <w:t>T</w:t>
      </w:r>
      <w:r w:rsidR="62C67A6D" w:rsidRPr="00E6041E">
        <w:rPr>
          <w:rFonts w:eastAsia="MS Gothic" w:cstheme="minorHAnsi"/>
          <w:sz w:val="24"/>
          <w:szCs w:val="24"/>
        </w:rPr>
        <w:t>ā</w:t>
      </w:r>
      <w:r w:rsidR="49DD8651" w:rsidRPr="00E6041E">
        <w:rPr>
          <w:rFonts w:eastAsia="MS Gothic" w:cstheme="minorHAnsi"/>
          <w:sz w:val="24"/>
          <w:szCs w:val="24"/>
        </w:rPr>
        <w:t>k</w:t>
      </w:r>
      <w:r w:rsidR="62C67A6D" w:rsidRPr="00E6041E">
        <w:rPr>
          <w:rFonts w:eastAsia="MS Gothic" w:cstheme="minorHAnsi"/>
          <w:sz w:val="24"/>
          <w:szCs w:val="24"/>
        </w:rPr>
        <w:t>ina Wellington Convention &amp; Exhibition Centre</w:t>
      </w:r>
    </w:p>
    <w:p w14:paraId="58D663A5" w14:textId="0438C22F" w:rsidR="00DB2221" w:rsidRPr="00E6041E" w:rsidRDefault="62C67A6D" w:rsidP="00655D77">
      <w:pPr>
        <w:ind w:left="709"/>
        <w:rPr>
          <w:rFonts w:eastAsia="MS Gothic" w:cstheme="minorHAnsi"/>
          <w:sz w:val="24"/>
          <w:szCs w:val="24"/>
        </w:rPr>
      </w:pPr>
      <w:r w:rsidRPr="00E6041E">
        <w:rPr>
          <w:rFonts w:eastAsia="MS Gothic" w:cstheme="minorHAnsi"/>
          <w:sz w:val="24"/>
          <w:szCs w:val="24"/>
        </w:rPr>
        <w:t>3.1.3</w:t>
      </w:r>
      <w:r w:rsidR="00DB2221" w:rsidRPr="00E6041E">
        <w:rPr>
          <w:rFonts w:eastAsia="MS Gothic" w:cstheme="minorHAnsi"/>
        </w:rPr>
        <w:tab/>
      </w:r>
      <w:r w:rsidRPr="00E6041E">
        <w:rPr>
          <w:rFonts w:eastAsia="MS Gothic" w:cstheme="minorHAnsi"/>
          <w:sz w:val="24"/>
          <w:szCs w:val="24"/>
        </w:rPr>
        <w:t>City Growth Fund</w:t>
      </w:r>
    </w:p>
    <w:p w14:paraId="738B4E3D" w14:textId="55E4A40A" w:rsidR="00DB2221" w:rsidRPr="00E6041E" w:rsidRDefault="62C67A6D" w:rsidP="00655D77">
      <w:pPr>
        <w:ind w:left="709"/>
        <w:rPr>
          <w:rFonts w:eastAsia="MS Gothic" w:cstheme="minorHAnsi"/>
          <w:sz w:val="24"/>
          <w:szCs w:val="24"/>
        </w:rPr>
      </w:pPr>
      <w:r w:rsidRPr="00E6041E">
        <w:rPr>
          <w:rFonts w:eastAsia="MS Gothic" w:cstheme="minorHAnsi"/>
          <w:sz w:val="24"/>
          <w:szCs w:val="24"/>
        </w:rPr>
        <w:t>3.1.4</w:t>
      </w:r>
      <w:r w:rsidR="00DB2221" w:rsidRPr="00E6041E">
        <w:rPr>
          <w:rFonts w:eastAsia="MS Gothic" w:cstheme="minorHAnsi"/>
        </w:rPr>
        <w:tab/>
      </w:r>
      <w:r w:rsidRPr="00E6041E">
        <w:rPr>
          <w:rFonts w:eastAsia="MS Gothic" w:cstheme="minorHAnsi"/>
          <w:sz w:val="24"/>
          <w:szCs w:val="24"/>
        </w:rPr>
        <w:t>Major Economic Projects</w:t>
      </w:r>
    </w:p>
    <w:p w14:paraId="04F386B9" w14:textId="2BD6191A" w:rsidR="008A69AF" w:rsidRPr="00E6041E" w:rsidRDefault="62C67A6D" w:rsidP="00655D77">
      <w:pPr>
        <w:ind w:left="709"/>
        <w:rPr>
          <w:rFonts w:eastAsia="MS Gothic" w:cstheme="minorHAnsi"/>
          <w:sz w:val="24"/>
          <w:szCs w:val="24"/>
        </w:rPr>
      </w:pPr>
      <w:r w:rsidRPr="00E6041E">
        <w:rPr>
          <w:rFonts w:eastAsia="MS Gothic" w:cstheme="minorHAnsi"/>
          <w:sz w:val="24"/>
          <w:szCs w:val="24"/>
        </w:rPr>
        <w:t>3.1.5</w:t>
      </w:r>
      <w:r w:rsidR="00DB2221" w:rsidRPr="00E6041E">
        <w:rPr>
          <w:rFonts w:eastAsia="MS Gothic" w:cstheme="minorHAnsi"/>
        </w:rPr>
        <w:tab/>
      </w:r>
      <w:r w:rsidR="6D6A4F9C" w:rsidRPr="00E6041E">
        <w:rPr>
          <w:rFonts w:eastAsia="MS Gothic" w:cstheme="minorHAnsi"/>
          <w:sz w:val="24"/>
          <w:szCs w:val="24"/>
        </w:rPr>
        <w:t>International relations</w:t>
      </w:r>
    </w:p>
    <w:p w14:paraId="7B478F27" w14:textId="0DBFB596" w:rsidR="008A69AF" w:rsidRPr="00E6041E" w:rsidRDefault="6D6A4F9C" w:rsidP="00655D77">
      <w:pPr>
        <w:ind w:left="709"/>
        <w:rPr>
          <w:rFonts w:eastAsia="MS Gothic" w:cstheme="minorHAnsi"/>
          <w:sz w:val="24"/>
          <w:szCs w:val="24"/>
        </w:rPr>
      </w:pPr>
      <w:r w:rsidRPr="00E6041E">
        <w:rPr>
          <w:rFonts w:eastAsia="MS Gothic" w:cstheme="minorHAnsi"/>
          <w:sz w:val="24"/>
          <w:szCs w:val="24"/>
        </w:rPr>
        <w:t>3.1.6</w:t>
      </w:r>
      <w:r w:rsidR="008A69AF" w:rsidRPr="00E6041E">
        <w:rPr>
          <w:rFonts w:eastAsia="MS Gothic" w:cstheme="minorHAnsi"/>
        </w:rPr>
        <w:tab/>
      </w:r>
      <w:r w:rsidRPr="00E6041E">
        <w:rPr>
          <w:rFonts w:eastAsia="MS Gothic" w:cstheme="minorHAnsi"/>
          <w:sz w:val="24"/>
          <w:szCs w:val="24"/>
        </w:rPr>
        <w:t>Business Improvement Districts</w:t>
      </w:r>
    </w:p>
    <w:p w14:paraId="12C0A389" w14:textId="77777777" w:rsidR="00870416" w:rsidRDefault="00870416">
      <w:pPr>
        <w:rPr>
          <w:rFonts w:eastAsia="MS Gothic" w:cstheme="minorBidi"/>
          <w:b/>
          <w:bCs/>
          <w:kern w:val="32"/>
          <w:sz w:val="40"/>
          <w:szCs w:val="40"/>
        </w:rPr>
      </w:pPr>
      <w:r>
        <w:rPr>
          <w:rFonts w:cstheme="minorBidi"/>
          <w:sz w:val="40"/>
          <w:szCs w:val="40"/>
        </w:rPr>
        <w:br w:type="page"/>
      </w:r>
    </w:p>
    <w:p w14:paraId="12BB3D03" w14:textId="77777777" w:rsidR="00671989" w:rsidRPr="00E6041E" w:rsidRDefault="00671989" w:rsidP="3C7EFEEB">
      <w:pPr>
        <w:pStyle w:val="Heading1"/>
        <w:rPr>
          <w:rFonts w:asciiTheme="minorHAnsi" w:hAnsiTheme="minorHAnsi" w:cstheme="minorBidi"/>
          <w:sz w:val="40"/>
          <w:szCs w:val="40"/>
        </w:rPr>
      </w:pPr>
      <w:bookmarkStart w:id="11" w:name="_Toc223964604"/>
      <w:r w:rsidRPr="3C7EFEEB">
        <w:rPr>
          <w:rFonts w:asciiTheme="minorHAnsi" w:hAnsiTheme="minorHAnsi" w:cstheme="minorBidi"/>
          <w:sz w:val="40"/>
          <w:szCs w:val="40"/>
        </w:rPr>
        <w:t>What we do as a Council</w:t>
      </w:r>
      <w:bookmarkEnd w:id="11"/>
    </w:p>
    <w:p w14:paraId="34204D9E" w14:textId="42A0A8C4" w:rsidR="00671989" w:rsidRPr="00E6041E" w:rsidRDefault="60C1B13F" w:rsidP="7F1ACD77">
      <w:pPr>
        <w:pStyle w:val="Body"/>
        <w:spacing w:after="0" w:line="276" w:lineRule="auto"/>
        <w:rPr>
          <w:rFonts w:eastAsia="MS Gothic" w:cstheme="minorBidi"/>
          <w:sz w:val="24"/>
          <w:szCs w:val="24"/>
        </w:rPr>
      </w:pPr>
      <w:r w:rsidRPr="7F1ACD77">
        <w:rPr>
          <w:rFonts w:eastAsia="MS Gothic" w:cstheme="minorBidi"/>
          <w:sz w:val="24"/>
          <w:szCs w:val="24"/>
        </w:rPr>
        <w:t xml:space="preserve">The Council supports an innovative, business-friendly city through city promotions, business support, and the delivery of major economic development initiatives. Revitalisation of the city and suburbs to support a </w:t>
      </w:r>
      <w:r w:rsidR="700A5F11" w:rsidRPr="7F1ACD77">
        <w:rPr>
          <w:rFonts w:eastAsia="MS Gothic" w:cstheme="minorBidi"/>
          <w:sz w:val="24"/>
          <w:szCs w:val="24"/>
        </w:rPr>
        <w:t>more productive</w:t>
      </w:r>
      <w:r w:rsidRPr="7F1ACD77">
        <w:rPr>
          <w:rFonts w:eastAsia="MS Gothic" w:cstheme="minorBidi"/>
          <w:sz w:val="24"/>
          <w:szCs w:val="24"/>
        </w:rPr>
        <w:t xml:space="preserve"> and resilient economy and job growth is the strategic priority. Wellington city’s economic growth is propelled by </w:t>
      </w:r>
      <w:r w:rsidR="624598EE" w:rsidRPr="7F1ACD77">
        <w:rPr>
          <w:rFonts w:eastAsia="MS Gothic" w:cstheme="minorBidi"/>
          <w:sz w:val="24"/>
          <w:szCs w:val="24"/>
        </w:rPr>
        <w:t>supporting</w:t>
      </w:r>
      <w:r w:rsidRPr="7F1ACD77">
        <w:rPr>
          <w:rFonts w:eastAsia="MS Gothic" w:cstheme="minorBidi"/>
          <w:sz w:val="24"/>
          <w:szCs w:val="24"/>
        </w:rPr>
        <w:t xml:space="preserve"> </w:t>
      </w:r>
      <w:r w:rsidR="7A77CA75" w:rsidRPr="7F1ACD77">
        <w:rPr>
          <w:rFonts w:eastAsia="MS Gothic" w:cstheme="minorBidi"/>
          <w:sz w:val="24"/>
          <w:szCs w:val="24"/>
        </w:rPr>
        <w:t xml:space="preserve">and attracting </w:t>
      </w:r>
      <w:r w:rsidRPr="7F1ACD77">
        <w:rPr>
          <w:rFonts w:eastAsia="MS Gothic" w:cstheme="minorBidi"/>
          <w:sz w:val="24"/>
          <w:szCs w:val="24"/>
        </w:rPr>
        <w:t xml:space="preserve">high-quality events, promoting tourism, attracting and supporting business activity, and delivering targeted </w:t>
      </w:r>
      <w:r w:rsidR="5F68A9EA" w:rsidRPr="7F1ACD77">
        <w:rPr>
          <w:rFonts w:eastAsia="MS Gothic" w:cstheme="minorBidi"/>
          <w:sz w:val="24"/>
          <w:szCs w:val="24"/>
        </w:rPr>
        <w:t xml:space="preserve">economic </w:t>
      </w:r>
      <w:r w:rsidRPr="7F1ACD77">
        <w:rPr>
          <w:rFonts w:eastAsia="MS Gothic" w:cstheme="minorBidi"/>
          <w:sz w:val="24"/>
          <w:szCs w:val="24"/>
        </w:rPr>
        <w:t xml:space="preserve">development programmes. These efforts are complemented by the </w:t>
      </w:r>
      <w:r w:rsidR="5CDE99CA" w:rsidRPr="7F1ACD77">
        <w:rPr>
          <w:rFonts w:eastAsia="MS Gothic" w:cstheme="minorBidi"/>
          <w:sz w:val="24"/>
          <w:szCs w:val="24"/>
        </w:rPr>
        <w:t>C</w:t>
      </w:r>
      <w:r w:rsidRPr="7F1ACD77">
        <w:rPr>
          <w:rFonts w:eastAsia="MS Gothic" w:cstheme="minorBidi"/>
          <w:sz w:val="24"/>
          <w:szCs w:val="24"/>
        </w:rPr>
        <w:t>ouncil’s other activities and essential services such as infrastructure investment, urban development, transport enhancements, and initiatives to encourage housing development. Key activities include</w:t>
      </w:r>
      <w:r w:rsidR="0B78FFD4" w:rsidRPr="7F1ACD77">
        <w:rPr>
          <w:rFonts w:eastAsia="MS Gothic" w:cstheme="minorBidi"/>
          <w:sz w:val="24"/>
          <w:szCs w:val="24"/>
        </w:rPr>
        <w:t>:</w:t>
      </w:r>
    </w:p>
    <w:p w14:paraId="564E82B6" w14:textId="37BE9004" w:rsidR="00671989" w:rsidRPr="00E6041E" w:rsidRDefault="42C39B33" w:rsidP="00D862C7">
      <w:pPr>
        <w:pStyle w:val="ListParagraph"/>
        <w:numPr>
          <w:ilvl w:val="0"/>
          <w:numId w:val="11"/>
        </w:numPr>
        <w:spacing w:line="276" w:lineRule="auto"/>
        <w:rPr>
          <w:rFonts w:eastAsia="MS Gothic" w:cstheme="minorBidi"/>
          <w:sz w:val="24"/>
          <w:szCs w:val="24"/>
        </w:rPr>
      </w:pPr>
      <w:r w:rsidRPr="68952F3F">
        <w:rPr>
          <w:rFonts w:eastAsia="MS Gothic" w:cstheme="minorBidi"/>
          <w:b/>
          <w:sz w:val="24"/>
          <w:szCs w:val="24"/>
        </w:rPr>
        <w:t xml:space="preserve">Economic Wellbeing Strategy (EWS) 2022: </w:t>
      </w:r>
      <w:r w:rsidRPr="68952F3F">
        <w:rPr>
          <w:rFonts w:eastAsia="MS Gothic" w:cstheme="minorBidi"/>
          <w:sz w:val="24"/>
          <w:szCs w:val="24"/>
        </w:rPr>
        <w:t xml:space="preserve">Launched during </w:t>
      </w:r>
      <w:r w:rsidR="14BD36B3" w:rsidRPr="68952F3F">
        <w:rPr>
          <w:rFonts w:eastAsia="MS Gothic" w:cstheme="minorBidi"/>
          <w:sz w:val="24"/>
          <w:szCs w:val="24"/>
        </w:rPr>
        <w:t>a</w:t>
      </w:r>
      <w:r w:rsidR="68C21498" w:rsidRPr="68952F3F">
        <w:rPr>
          <w:rFonts w:eastAsia="MS Gothic" w:cstheme="minorBidi"/>
          <w:sz w:val="24"/>
          <w:szCs w:val="24"/>
        </w:rPr>
        <w:t xml:space="preserve"> </w:t>
      </w:r>
      <w:r w:rsidR="728FD26D" w:rsidRPr="68952F3F">
        <w:rPr>
          <w:rFonts w:eastAsia="MS Gothic" w:cstheme="minorBidi"/>
          <w:sz w:val="24"/>
          <w:szCs w:val="24"/>
        </w:rPr>
        <w:t>constrained</w:t>
      </w:r>
      <w:r w:rsidRPr="68952F3F">
        <w:rPr>
          <w:rFonts w:eastAsia="MS Gothic" w:cstheme="minorBidi"/>
          <w:sz w:val="24"/>
          <w:szCs w:val="24"/>
        </w:rPr>
        <w:t xml:space="preserve"> economic </w:t>
      </w:r>
      <w:r w:rsidR="4D600BE7" w:rsidRPr="68952F3F">
        <w:rPr>
          <w:rFonts w:eastAsia="MS Gothic" w:cstheme="minorBidi"/>
          <w:sz w:val="24"/>
          <w:szCs w:val="24"/>
        </w:rPr>
        <w:t>environment</w:t>
      </w:r>
      <w:r w:rsidR="2CC2D96E" w:rsidRPr="68952F3F">
        <w:rPr>
          <w:rFonts w:eastAsia="MS Gothic" w:cstheme="minorBidi"/>
          <w:sz w:val="24"/>
          <w:szCs w:val="24"/>
        </w:rPr>
        <w:t xml:space="preserve"> </w:t>
      </w:r>
      <w:r w:rsidR="7398C990" w:rsidRPr="68952F3F">
        <w:rPr>
          <w:rFonts w:eastAsia="MS Gothic" w:cstheme="minorBidi"/>
          <w:sz w:val="24"/>
          <w:szCs w:val="24"/>
        </w:rPr>
        <w:t xml:space="preserve">following the </w:t>
      </w:r>
      <w:r w:rsidR="62392706" w:rsidRPr="68952F3F">
        <w:rPr>
          <w:rFonts w:eastAsia="MS Gothic" w:cstheme="minorBidi"/>
          <w:sz w:val="24"/>
          <w:szCs w:val="24"/>
        </w:rPr>
        <w:t>Covid-19</w:t>
      </w:r>
      <w:r w:rsidR="5DBEF394" w:rsidRPr="68952F3F">
        <w:rPr>
          <w:rFonts w:eastAsia="MS Gothic" w:cstheme="minorBidi"/>
          <w:sz w:val="24"/>
          <w:szCs w:val="24"/>
        </w:rPr>
        <w:t xml:space="preserve"> pandemic</w:t>
      </w:r>
      <w:r w:rsidRPr="68952F3F">
        <w:rPr>
          <w:rFonts w:eastAsia="MS Gothic" w:cstheme="minorBidi"/>
          <w:sz w:val="24"/>
          <w:szCs w:val="24"/>
        </w:rPr>
        <w:t xml:space="preserve">, the EWS has provided clear direction for Wellington’s economic development. Delivered in collaboration with WellingtonNZ, the strategy focuses on city vibrancy, business growth, and sector diversification. WellingtonNZ leads Destination Management, Major Events, Venues Management, and Business Growth activities on behalf of the Council. </w:t>
      </w:r>
    </w:p>
    <w:p w14:paraId="1CF95191" w14:textId="111357A9" w:rsidR="00671989" w:rsidRPr="00E6041E" w:rsidRDefault="60C1B13F" w:rsidP="7F1ACD77">
      <w:pPr>
        <w:pStyle w:val="ListParagraph"/>
        <w:numPr>
          <w:ilvl w:val="0"/>
          <w:numId w:val="11"/>
        </w:numPr>
        <w:spacing w:line="276" w:lineRule="auto"/>
        <w:contextualSpacing w:val="0"/>
        <w:rPr>
          <w:rFonts w:eastAsia="MS Gothic" w:cstheme="minorBidi"/>
          <w:sz w:val="24"/>
          <w:szCs w:val="24"/>
        </w:rPr>
      </w:pPr>
      <w:r w:rsidRPr="7F1ACD77">
        <w:rPr>
          <w:rFonts w:eastAsia="MS Gothic" w:cstheme="minorBidi"/>
          <w:b/>
          <w:bCs/>
          <w:sz w:val="24"/>
          <w:szCs w:val="24"/>
        </w:rPr>
        <w:t>Targeted rates and investment:</w:t>
      </w:r>
      <w:r w:rsidRPr="7F1ACD77">
        <w:rPr>
          <w:rFonts w:eastAsia="MS Gothic" w:cstheme="minorBidi"/>
          <w:sz w:val="24"/>
          <w:szCs w:val="24"/>
        </w:rPr>
        <w:t xml:space="preserve"> The Downtown Targeted Rate, paid by central city property owners, funds activities that benefit the area, such as tourism promotion</w:t>
      </w:r>
      <w:r w:rsidR="0865C0B4" w:rsidRPr="7F1ACD77">
        <w:rPr>
          <w:rFonts w:eastAsia="MS Gothic" w:cstheme="minorBidi"/>
          <w:sz w:val="24"/>
          <w:szCs w:val="24"/>
        </w:rPr>
        <w:t xml:space="preserve"> and attractions,</w:t>
      </w:r>
      <w:r w:rsidRPr="7F1ACD77">
        <w:rPr>
          <w:rFonts w:eastAsia="MS Gothic" w:cstheme="minorBidi"/>
          <w:sz w:val="24"/>
          <w:szCs w:val="24"/>
        </w:rPr>
        <w:t xml:space="preserve"> and </w:t>
      </w:r>
      <w:r w:rsidR="050C5B83" w:rsidRPr="7F1ACD77">
        <w:rPr>
          <w:rFonts w:eastAsia="MS Gothic" w:cstheme="minorBidi"/>
          <w:sz w:val="24"/>
          <w:szCs w:val="24"/>
        </w:rPr>
        <w:t xml:space="preserve">major </w:t>
      </w:r>
      <w:r w:rsidRPr="7F1ACD77">
        <w:rPr>
          <w:rFonts w:eastAsia="MS Gothic" w:cstheme="minorBidi"/>
          <w:sz w:val="24"/>
          <w:szCs w:val="24"/>
        </w:rPr>
        <w:t>events. Investment is also directed through the City Growth Fund and Destination Wellington programme to stimulate job creation, spending, and economic outcomes in priority sectors. Programmes support business innovation, Māori business growth, sector-specific economic growth, and the transition to a circular economy.</w:t>
      </w:r>
    </w:p>
    <w:p w14:paraId="23BAEC2A" w14:textId="290A14FB" w:rsidR="00671989" w:rsidRPr="00E6041E" w:rsidRDefault="42C39B33" w:rsidP="00FD0FE2">
      <w:pPr>
        <w:pStyle w:val="ListParagraph"/>
        <w:numPr>
          <w:ilvl w:val="0"/>
          <w:numId w:val="11"/>
        </w:numPr>
        <w:spacing w:line="276" w:lineRule="auto"/>
        <w:contextualSpacing w:val="0"/>
        <w:rPr>
          <w:rFonts w:eastAsia="MS Gothic" w:cstheme="minorBidi"/>
          <w:sz w:val="24"/>
          <w:szCs w:val="24"/>
        </w:rPr>
      </w:pPr>
      <w:r w:rsidRPr="68952F3F">
        <w:rPr>
          <w:rFonts w:eastAsia="MS Gothic" w:cstheme="minorBidi"/>
          <w:b/>
          <w:sz w:val="24"/>
          <w:szCs w:val="24"/>
        </w:rPr>
        <w:t xml:space="preserve">Tākina Wellington Convention </w:t>
      </w:r>
      <w:r w:rsidR="5D5A7025" w:rsidRPr="68952F3F">
        <w:rPr>
          <w:rFonts w:eastAsia="MS Gothic" w:cstheme="minorBidi"/>
          <w:b/>
          <w:bCs/>
          <w:sz w:val="24"/>
          <w:szCs w:val="24"/>
        </w:rPr>
        <w:t>and</w:t>
      </w:r>
      <w:r w:rsidRPr="68952F3F">
        <w:rPr>
          <w:rFonts w:eastAsia="MS Gothic" w:cstheme="minorBidi"/>
          <w:b/>
          <w:sz w:val="24"/>
          <w:szCs w:val="24"/>
        </w:rPr>
        <w:t xml:space="preserve"> Exhibition Centre: </w:t>
      </w:r>
      <w:r w:rsidRPr="68952F3F">
        <w:rPr>
          <w:rFonts w:eastAsia="MS Gothic" w:cstheme="minorBidi"/>
          <w:sz w:val="24"/>
          <w:szCs w:val="24"/>
        </w:rPr>
        <w:t xml:space="preserve">The Council </w:t>
      </w:r>
      <w:r w:rsidR="0069505D" w:rsidRPr="68952F3F">
        <w:rPr>
          <w:rFonts w:eastAsia="MS Gothic" w:cstheme="minorBidi"/>
          <w:sz w:val="24"/>
          <w:szCs w:val="24"/>
        </w:rPr>
        <w:t xml:space="preserve">owns and funds the </w:t>
      </w:r>
      <w:r w:rsidRPr="68952F3F">
        <w:rPr>
          <w:rFonts w:eastAsia="MS Gothic" w:cstheme="minorBidi"/>
          <w:sz w:val="24"/>
          <w:szCs w:val="24"/>
        </w:rPr>
        <w:t>operat</w:t>
      </w:r>
      <w:r w:rsidR="0069505D" w:rsidRPr="68952F3F">
        <w:rPr>
          <w:rFonts w:eastAsia="MS Gothic" w:cstheme="minorBidi"/>
          <w:sz w:val="24"/>
          <w:szCs w:val="24"/>
        </w:rPr>
        <w:t>ing</w:t>
      </w:r>
      <w:r w:rsidRPr="68952F3F">
        <w:rPr>
          <w:rFonts w:eastAsia="MS Gothic" w:cstheme="minorBidi"/>
          <w:sz w:val="24"/>
          <w:szCs w:val="24"/>
        </w:rPr>
        <w:t xml:space="preserve"> and </w:t>
      </w:r>
      <w:r w:rsidR="0069505D" w:rsidRPr="68952F3F">
        <w:rPr>
          <w:rFonts w:eastAsia="MS Gothic" w:cstheme="minorBidi"/>
          <w:sz w:val="24"/>
          <w:szCs w:val="24"/>
        </w:rPr>
        <w:t xml:space="preserve">maintenance of </w:t>
      </w:r>
      <w:r w:rsidRPr="68952F3F">
        <w:rPr>
          <w:rFonts w:eastAsia="MS Gothic" w:cstheme="minorBidi"/>
          <w:sz w:val="24"/>
          <w:szCs w:val="24"/>
        </w:rPr>
        <w:t xml:space="preserve">the new Tākina Wellington Convention </w:t>
      </w:r>
      <w:r w:rsidR="00D862C7" w:rsidRPr="68952F3F">
        <w:rPr>
          <w:rFonts w:eastAsia="MS Gothic" w:cstheme="minorBidi"/>
          <w:sz w:val="24"/>
          <w:szCs w:val="24"/>
        </w:rPr>
        <w:t>and</w:t>
      </w:r>
      <w:r w:rsidRPr="68952F3F">
        <w:rPr>
          <w:rFonts w:eastAsia="MS Gothic" w:cstheme="minorBidi"/>
          <w:sz w:val="24"/>
          <w:szCs w:val="24"/>
        </w:rPr>
        <w:t xml:space="preserve"> Exhibition Centre, with Wellington NZ overseeing commercial outcomes and Te Papa managing </w:t>
      </w:r>
      <w:r w:rsidR="140BEB9F" w:rsidRPr="68952F3F">
        <w:rPr>
          <w:rFonts w:eastAsia="MS Gothic" w:cstheme="minorBidi"/>
          <w:sz w:val="24"/>
          <w:szCs w:val="24"/>
        </w:rPr>
        <w:t>the conference centre.</w:t>
      </w:r>
      <w:r w:rsidRPr="68952F3F">
        <w:rPr>
          <w:rFonts w:eastAsia="MS Gothic" w:cstheme="minorBidi"/>
          <w:sz w:val="24"/>
          <w:szCs w:val="24"/>
        </w:rPr>
        <w:t xml:space="preserve"> This facility attracts business events</w:t>
      </w:r>
      <w:r w:rsidR="14310858" w:rsidRPr="68952F3F">
        <w:rPr>
          <w:rFonts w:eastAsia="MS Gothic" w:cstheme="minorBidi"/>
          <w:sz w:val="24"/>
          <w:szCs w:val="24"/>
        </w:rPr>
        <w:t xml:space="preserve"> and exhibitions</w:t>
      </w:r>
      <w:r w:rsidRPr="68952F3F">
        <w:rPr>
          <w:rFonts w:eastAsia="MS Gothic" w:cstheme="minorBidi"/>
          <w:sz w:val="24"/>
          <w:szCs w:val="24"/>
        </w:rPr>
        <w:t xml:space="preserve"> year-round, supporting local businesses and enhancing Wellington’s reputation as a </w:t>
      </w:r>
      <w:r w:rsidR="68C21498" w:rsidRPr="68952F3F">
        <w:rPr>
          <w:rFonts w:eastAsia="MS Gothic" w:cstheme="minorBidi"/>
          <w:sz w:val="24"/>
          <w:szCs w:val="24"/>
        </w:rPr>
        <w:t>premier</w:t>
      </w:r>
      <w:r w:rsidR="7D44F471" w:rsidRPr="68952F3F">
        <w:rPr>
          <w:rFonts w:eastAsia="MS Gothic" w:cstheme="minorBidi"/>
          <w:sz w:val="24"/>
          <w:szCs w:val="24"/>
        </w:rPr>
        <w:t>e</w:t>
      </w:r>
      <w:r w:rsidRPr="68952F3F">
        <w:rPr>
          <w:rFonts w:eastAsia="MS Gothic" w:cstheme="minorBidi"/>
          <w:sz w:val="24"/>
          <w:szCs w:val="24"/>
        </w:rPr>
        <w:t xml:space="preserve"> destination. </w:t>
      </w:r>
    </w:p>
    <w:p w14:paraId="5502BB7B" w14:textId="48ACCEDC" w:rsidR="00671989" w:rsidRPr="00E6041E" w:rsidRDefault="42C39B33" w:rsidP="00FD0FE2">
      <w:pPr>
        <w:pStyle w:val="ListParagraph"/>
        <w:numPr>
          <w:ilvl w:val="0"/>
          <w:numId w:val="11"/>
        </w:numPr>
        <w:spacing w:line="276" w:lineRule="auto"/>
        <w:contextualSpacing w:val="0"/>
        <w:rPr>
          <w:rFonts w:eastAsia="MS Gothic" w:cstheme="minorBidi"/>
          <w:sz w:val="24"/>
          <w:szCs w:val="24"/>
        </w:rPr>
      </w:pPr>
      <w:r w:rsidRPr="70964486">
        <w:rPr>
          <w:rFonts w:eastAsia="MS Gothic" w:cstheme="minorBidi"/>
          <w:b/>
          <w:sz w:val="24"/>
          <w:szCs w:val="24"/>
        </w:rPr>
        <w:t>International relations:</w:t>
      </w:r>
      <w:r w:rsidRPr="70964486">
        <w:rPr>
          <w:rFonts w:eastAsia="MS Gothic" w:cstheme="minorBidi"/>
          <w:sz w:val="24"/>
          <w:szCs w:val="24"/>
        </w:rPr>
        <w:t xml:space="preserve"> The Council strengthens Wellington’s global connections through initiatives with </w:t>
      </w:r>
      <w:r w:rsidR="13DD3318" w:rsidRPr="70964486">
        <w:rPr>
          <w:rFonts w:eastAsia="MS Gothic" w:cstheme="minorBidi"/>
          <w:sz w:val="24"/>
          <w:szCs w:val="24"/>
        </w:rPr>
        <w:t xml:space="preserve">the city’s </w:t>
      </w:r>
      <w:r w:rsidR="381031A9" w:rsidRPr="70964486">
        <w:rPr>
          <w:rFonts w:eastAsia="MS Gothic" w:cstheme="minorBidi"/>
          <w:sz w:val="24"/>
          <w:szCs w:val="24"/>
        </w:rPr>
        <w:t>thirteen</w:t>
      </w:r>
      <w:r w:rsidRPr="70964486">
        <w:rPr>
          <w:rFonts w:eastAsia="MS Gothic" w:cstheme="minorBidi"/>
          <w:sz w:val="24"/>
          <w:szCs w:val="24"/>
        </w:rPr>
        <w:t xml:space="preserve"> sister</w:t>
      </w:r>
      <w:r w:rsidR="68059897" w:rsidRPr="70964486">
        <w:rPr>
          <w:rFonts w:eastAsia="MS Gothic" w:cstheme="minorBidi"/>
          <w:sz w:val="24"/>
          <w:szCs w:val="24"/>
        </w:rPr>
        <w:t>, friendly and partner</w:t>
      </w:r>
      <w:r w:rsidRPr="70964486">
        <w:rPr>
          <w:rFonts w:eastAsia="MS Gothic" w:cstheme="minorBidi"/>
          <w:sz w:val="24"/>
          <w:szCs w:val="24"/>
        </w:rPr>
        <w:t xml:space="preserve"> cities, enhancing opportunities for trade, tourism, and cultural exchange.</w:t>
      </w:r>
      <w:r w:rsidR="2C08122B" w:rsidRPr="70964486">
        <w:rPr>
          <w:rFonts w:eastAsia="MS Gothic" w:cstheme="minorBidi"/>
          <w:sz w:val="24"/>
          <w:szCs w:val="24"/>
        </w:rPr>
        <w:t xml:space="preserve"> The Council also </w:t>
      </w:r>
      <w:r w:rsidR="03AE3D2E" w:rsidRPr="70964486">
        <w:rPr>
          <w:rFonts w:eastAsia="MS Gothic" w:cstheme="minorBidi"/>
          <w:sz w:val="24"/>
          <w:szCs w:val="24"/>
        </w:rPr>
        <w:t>hosts</w:t>
      </w:r>
      <w:r w:rsidR="2C08122B" w:rsidRPr="70964486">
        <w:rPr>
          <w:rFonts w:eastAsia="MS Gothic" w:cstheme="minorBidi"/>
          <w:sz w:val="24"/>
          <w:szCs w:val="24"/>
        </w:rPr>
        <w:t xml:space="preserve"> </w:t>
      </w:r>
      <w:r w:rsidR="4EEF2986" w:rsidRPr="70964486">
        <w:rPr>
          <w:rFonts w:eastAsia="MS Gothic" w:cstheme="minorBidi"/>
          <w:sz w:val="24"/>
          <w:szCs w:val="24"/>
        </w:rPr>
        <w:t xml:space="preserve">diplomatic missions </w:t>
      </w:r>
      <w:r w:rsidR="6ADA425A" w:rsidRPr="70964486">
        <w:rPr>
          <w:rFonts w:eastAsia="MS Gothic" w:cstheme="minorBidi"/>
          <w:sz w:val="24"/>
          <w:szCs w:val="24"/>
        </w:rPr>
        <w:t>in</w:t>
      </w:r>
      <w:r w:rsidR="4EEF2986" w:rsidRPr="70964486">
        <w:rPr>
          <w:rFonts w:eastAsia="MS Gothic" w:cstheme="minorBidi"/>
          <w:sz w:val="24"/>
          <w:szCs w:val="24"/>
        </w:rPr>
        <w:t xml:space="preserve"> Wellington and holds </w:t>
      </w:r>
      <w:r w:rsidR="2C08122B" w:rsidRPr="70964486">
        <w:rPr>
          <w:rFonts w:eastAsia="MS Gothic" w:cstheme="minorBidi"/>
          <w:sz w:val="24"/>
          <w:szCs w:val="24"/>
        </w:rPr>
        <w:t>relationsh</w:t>
      </w:r>
      <w:r w:rsidR="4E6326E9" w:rsidRPr="70964486">
        <w:rPr>
          <w:rFonts w:eastAsia="MS Gothic" w:cstheme="minorBidi"/>
          <w:sz w:val="24"/>
          <w:szCs w:val="24"/>
        </w:rPr>
        <w:t xml:space="preserve">ips </w:t>
      </w:r>
      <w:r w:rsidR="2C08122B" w:rsidRPr="70964486">
        <w:rPr>
          <w:rFonts w:eastAsia="MS Gothic" w:cstheme="minorBidi"/>
          <w:sz w:val="24"/>
          <w:szCs w:val="24"/>
        </w:rPr>
        <w:t>with the diplomatic commun</w:t>
      </w:r>
      <w:r w:rsidR="1FD0D58E" w:rsidRPr="70964486">
        <w:rPr>
          <w:rFonts w:eastAsia="MS Gothic" w:cstheme="minorBidi"/>
          <w:sz w:val="24"/>
          <w:szCs w:val="24"/>
        </w:rPr>
        <w:t>ity in Wellington.</w:t>
      </w:r>
    </w:p>
    <w:p w14:paraId="64DF4EAC" w14:textId="343E0BD8" w:rsidR="00671989" w:rsidRPr="00E6041E" w:rsidRDefault="42C39B33" w:rsidP="00D862C7">
      <w:pPr>
        <w:pStyle w:val="ListParagraph"/>
        <w:numPr>
          <w:ilvl w:val="0"/>
          <w:numId w:val="11"/>
        </w:numPr>
        <w:spacing w:line="276" w:lineRule="auto"/>
        <w:rPr>
          <w:rFonts w:eastAsia="MS Gothic" w:cstheme="minorBidi"/>
          <w:sz w:val="24"/>
          <w:szCs w:val="24"/>
        </w:rPr>
      </w:pPr>
      <w:r w:rsidRPr="68952F3F">
        <w:rPr>
          <w:rFonts w:eastAsia="MS Gothic" w:cstheme="minorBidi"/>
          <w:b/>
          <w:sz w:val="24"/>
          <w:szCs w:val="24"/>
        </w:rPr>
        <w:t>Business Improvement Districts:</w:t>
      </w:r>
      <w:r w:rsidRPr="68952F3F">
        <w:rPr>
          <w:rFonts w:eastAsia="MS Gothic" w:cstheme="minorBidi"/>
          <w:sz w:val="24"/>
          <w:szCs w:val="24"/>
        </w:rPr>
        <w:t xml:space="preserve"> Support is provided to local business districts via targeted rates and partnerships, facilitating economic development at the </w:t>
      </w:r>
      <w:r w:rsidR="2492C161" w:rsidRPr="68952F3F">
        <w:rPr>
          <w:rFonts w:eastAsia="MS Gothic" w:cstheme="minorBidi"/>
          <w:sz w:val="24"/>
          <w:szCs w:val="24"/>
        </w:rPr>
        <w:t>suburban</w:t>
      </w:r>
      <w:r w:rsidRPr="68952F3F">
        <w:rPr>
          <w:rFonts w:eastAsia="MS Gothic" w:cstheme="minorBidi"/>
          <w:sz w:val="24"/>
          <w:szCs w:val="24"/>
        </w:rPr>
        <w:t xml:space="preserve"> level.</w:t>
      </w:r>
    </w:p>
    <w:p w14:paraId="65DA1963" w14:textId="77777777" w:rsidR="00671989" w:rsidRPr="00E6041E" w:rsidRDefault="42C39B33" w:rsidP="00FD0FE2">
      <w:pPr>
        <w:pStyle w:val="Body"/>
        <w:numPr>
          <w:ilvl w:val="0"/>
          <w:numId w:val="11"/>
        </w:numPr>
        <w:spacing w:after="0" w:line="276" w:lineRule="auto"/>
        <w:rPr>
          <w:rFonts w:eastAsia="MS Gothic" w:cstheme="minorHAnsi"/>
          <w:sz w:val="24"/>
          <w:szCs w:val="24"/>
        </w:rPr>
      </w:pPr>
      <w:r w:rsidRPr="00E6041E">
        <w:rPr>
          <w:rFonts w:eastAsia="MS Gothic" w:cstheme="minorHAnsi"/>
          <w:b/>
          <w:sz w:val="24"/>
          <w:szCs w:val="24"/>
        </w:rPr>
        <w:t>Council Controlled Organisations (CCOs)</w:t>
      </w:r>
      <w:r w:rsidRPr="00E6041E">
        <w:rPr>
          <w:rFonts w:eastAsia="MS Gothic" w:cstheme="minorHAnsi"/>
          <w:sz w:val="24"/>
          <w:szCs w:val="24"/>
        </w:rPr>
        <w:t xml:space="preserve">: CCOs play a critical role in delivering Wellington City Council’s strategic priorities. Entities such as WellingtonNZ, Wellington Zoo, Wellington Cable Car, the Basin Reserve Trust, Zealandia, and Experience Wellington, operate independently but are accountable to the Council. They manage key facilities, services, and programmes supporting tourism, major events, cultural enrichment, infrastructure, and business growth. WellingtonNZ leads the region's economic development planning and destination marketing, while Experience Wellington oversees museums and cultural venues. </w:t>
      </w:r>
    </w:p>
    <w:p w14:paraId="791C6477" w14:textId="77777777" w:rsidR="00FD0FE2" w:rsidRDefault="00FD0FE2" w:rsidP="00FD0FE2">
      <w:pPr>
        <w:pStyle w:val="Body"/>
        <w:spacing w:after="0" w:line="276" w:lineRule="auto"/>
        <w:rPr>
          <w:rFonts w:eastAsia="MS Gothic" w:cstheme="minorHAnsi"/>
          <w:sz w:val="24"/>
          <w:szCs w:val="24"/>
        </w:rPr>
      </w:pPr>
    </w:p>
    <w:p w14:paraId="7B0CE34C" w14:textId="77777777" w:rsidR="00671989" w:rsidRPr="00E6041E" w:rsidRDefault="42C39B33" w:rsidP="00FD0FE2">
      <w:pPr>
        <w:pStyle w:val="Body"/>
        <w:spacing w:after="0" w:line="276" w:lineRule="auto"/>
        <w:rPr>
          <w:rFonts w:eastAsia="MS Gothic" w:cstheme="minorHAnsi"/>
          <w:sz w:val="24"/>
          <w:szCs w:val="24"/>
        </w:rPr>
      </w:pPr>
      <w:r w:rsidRPr="00E6041E">
        <w:rPr>
          <w:rFonts w:eastAsia="MS Gothic" w:cstheme="minorHAnsi"/>
          <w:sz w:val="24"/>
          <w:szCs w:val="24"/>
        </w:rPr>
        <w:t>Council staff ensure alignment with city goals, monitor CCO performance, and oversee board appointments, leveraging specialist expertise while maintaining strategic oversight and public accountability.</w:t>
      </w:r>
    </w:p>
    <w:p w14:paraId="30136FD5" w14:textId="77777777" w:rsidR="00FD0FE2" w:rsidRDefault="00FD0FE2" w:rsidP="00FD0FE2">
      <w:pPr>
        <w:pStyle w:val="Body"/>
        <w:spacing w:after="0" w:line="276" w:lineRule="auto"/>
        <w:rPr>
          <w:rFonts w:eastAsia="MS Gothic" w:cstheme="minorHAnsi"/>
          <w:b/>
          <w:sz w:val="24"/>
          <w:szCs w:val="24"/>
        </w:rPr>
      </w:pPr>
    </w:p>
    <w:p w14:paraId="3878CFDF" w14:textId="77777777" w:rsidR="00671989" w:rsidRPr="00E6041E" w:rsidRDefault="42C39B33" w:rsidP="00FD0FE2">
      <w:pPr>
        <w:pStyle w:val="Body"/>
        <w:spacing w:after="0" w:line="276" w:lineRule="auto"/>
        <w:rPr>
          <w:rFonts w:eastAsia="MS Gothic" w:cstheme="minorHAnsi"/>
          <w:sz w:val="24"/>
          <w:szCs w:val="24"/>
        </w:rPr>
      </w:pPr>
      <w:r w:rsidRPr="00E6041E">
        <w:rPr>
          <w:rFonts w:eastAsia="MS Gothic" w:cstheme="minorHAnsi"/>
          <w:b/>
          <w:sz w:val="24"/>
          <w:szCs w:val="24"/>
        </w:rPr>
        <w:t xml:space="preserve">WellingtonNZ’s core role is: </w:t>
      </w:r>
    </w:p>
    <w:p w14:paraId="0DCB8232" w14:textId="77777777" w:rsidR="00671989" w:rsidRPr="00E6041E" w:rsidRDefault="42C39B33" w:rsidP="00FD0FE2">
      <w:pPr>
        <w:pStyle w:val="BodyBulletL1"/>
        <w:spacing w:after="0" w:line="276" w:lineRule="auto"/>
        <w:rPr>
          <w:rFonts w:eastAsia="MS Gothic" w:cstheme="minorHAnsi"/>
          <w:sz w:val="24"/>
          <w:szCs w:val="24"/>
        </w:rPr>
      </w:pPr>
      <w:r w:rsidRPr="00E6041E">
        <w:rPr>
          <w:rFonts w:eastAsia="MS Gothic" w:cstheme="minorHAnsi"/>
          <w:sz w:val="24"/>
          <w:szCs w:val="24"/>
        </w:rPr>
        <w:t>Promoting Wellington to domestic and international visitors</w:t>
      </w:r>
    </w:p>
    <w:p w14:paraId="534E6605" w14:textId="4D4E3643" w:rsidR="00671989" w:rsidRPr="00E6041E" w:rsidRDefault="42C39B33" w:rsidP="00FD0FE2">
      <w:pPr>
        <w:pStyle w:val="BodyBulletL1"/>
        <w:spacing w:after="0" w:line="276" w:lineRule="auto"/>
        <w:rPr>
          <w:rFonts w:eastAsia="MS Gothic" w:cstheme="minorBidi"/>
          <w:sz w:val="24"/>
          <w:szCs w:val="24"/>
        </w:rPr>
      </w:pPr>
      <w:r w:rsidRPr="68952F3F">
        <w:rPr>
          <w:rFonts w:eastAsia="MS Gothic" w:cstheme="minorBidi"/>
          <w:sz w:val="24"/>
          <w:szCs w:val="24"/>
        </w:rPr>
        <w:t xml:space="preserve">Attracting major events </w:t>
      </w:r>
    </w:p>
    <w:p w14:paraId="01ACADF4" w14:textId="77777777" w:rsidR="00671989" w:rsidRPr="00E6041E" w:rsidRDefault="42C39B33" w:rsidP="00FD0FE2">
      <w:pPr>
        <w:pStyle w:val="BodyBulletL1"/>
        <w:spacing w:after="0" w:line="276" w:lineRule="auto"/>
        <w:rPr>
          <w:rFonts w:eastAsia="MS Gothic" w:cstheme="minorHAnsi"/>
          <w:sz w:val="24"/>
          <w:szCs w:val="24"/>
        </w:rPr>
      </w:pPr>
      <w:r w:rsidRPr="00E6041E">
        <w:rPr>
          <w:rFonts w:eastAsia="MS Gothic" w:cstheme="minorHAnsi"/>
          <w:sz w:val="24"/>
          <w:szCs w:val="24"/>
        </w:rPr>
        <w:t>Partnering with Māori and mana whenua to build the Māori economy</w:t>
      </w:r>
    </w:p>
    <w:p w14:paraId="589A1ED7" w14:textId="77777777" w:rsidR="00671989" w:rsidRPr="00E6041E" w:rsidRDefault="42C39B33" w:rsidP="00FD0FE2">
      <w:pPr>
        <w:pStyle w:val="BodyBulletL1"/>
        <w:spacing w:after="0" w:line="276" w:lineRule="auto"/>
        <w:rPr>
          <w:rFonts w:eastAsia="MS Gothic" w:cstheme="minorHAnsi"/>
          <w:sz w:val="24"/>
          <w:szCs w:val="24"/>
        </w:rPr>
      </w:pPr>
      <w:r w:rsidRPr="00E6041E">
        <w:rPr>
          <w:rFonts w:eastAsia="MS Gothic" w:cstheme="minorHAnsi"/>
          <w:sz w:val="24"/>
          <w:szCs w:val="24"/>
        </w:rPr>
        <w:t>Operating civic venues</w:t>
      </w:r>
    </w:p>
    <w:p w14:paraId="2B9DF69A" w14:textId="77777777" w:rsidR="00671989" w:rsidRPr="00E6041E" w:rsidRDefault="42C39B33" w:rsidP="00FD0FE2">
      <w:pPr>
        <w:pStyle w:val="BodyBulletL1"/>
        <w:spacing w:after="0" w:line="276" w:lineRule="auto"/>
        <w:rPr>
          <w:rFonts w:eastAsia="MS Gothic" w:cstheme="minorHAnsi"/>
          <w:sz w:val="24"/>
          <w:szCs w:val="24"/>
        </w:rPr>
      </w:pPr>
      <w:r w:rsidRPr="00E6041E">
        <w:rPr>
          <w:rFonts w:eastAsia="MS Gothic" w:cstheme="minorHAnsi"/>
          <w:sz w:val="24"/>
          <w:szCs w:val="24"/>
        </w:rPr>
        <w:t>Leading Tākina’s commercial outcomes</w:t>
      </w:r>
    </w:p>
    <w:p w14:paraId="660A29EA" w14:textId="7A07D61F" w:rsidR="00671989" w:rsidRPr="00E6041E" w:rsidRDefault="60C1B13F" w:rsidP="7F1ACD77">
      <w:pPr>
        <w:pStyle w:val="BodyBulletL1"/>
        <w:spacing w:after="0" w:line="276" w:lineRule="auto"/>
        <w:rPr>
          <w:rFonts w:eastAsia="MS Gothic" w:cstheme="minorBidi"/>
          <w:sz w:val="24"/>
          <w:szCs w:val="24"/>
        </w:rPr>
      </w:pPr>
      <w:r w:rsidRPr="7F1ACD77">
        <w:rPr>
          <w:rFonts w:eastAsia="MS Gothic" w:cstheme="minorBidi"/>
          <w:sz w:val="24"/>
          <w:szCs w:val="24"/>
        </w:rPr>
        <w:t>Facilitating economic diversification, especially in technology and screen sectors</w:t>
      </w:r>
    </w:p>
    <w:p w14:paraId="2EF6EA26" w14:textId="6AF8EC54" w:rsidR="00671989" w:rsidRPr="00E6041E" w:rsidRDefault="60C1B13F" w:rsidP="7F1ACD77">
      <w:pPr>
        <w:pStyle w:val="BodyBulletL1"/>
        <w:spacing w:after="0" w:line="276" w:lineRule="auto"/>
        <w:ind w:left="1066"/>
        <w:rPr>
          <w:rFonts w:eastAsia="MS Gothic" w:cstheme="minorBidi"/>
          <w:sz w:val="24"/>
          <w:szCs w:val="24"/>
        </w:rPr>
      </w:pPr>
      <w:r w:rsidRPr="7F1ACD77">
        <w:rPr>
          <w:rFonts w:eastAsia="MS Gothic" w:cstheme="minorBidi"/>
          <w:sz w:val="24"/>
          <w:szCs w:val="24"/>
        </w:rPr>
        <w:t>Supporting startups</w:t>
      </w:r>
      <w:r w:rsidR="37486FD6" w:rsidRPr="7F1ACD77">
        <w:rPr>
          <w:rFonts w:eastAsia="MS Gothic" w:cstheme="minorBidi"/>
          <w:sz w:val="24"/>
          <w:szCs w:val="24"/>
        </w:rPr>
        <w:t xml:space="preserve"> and scale-up activity</w:t>
      </w:r>
      <w:r w:rsidRPr="7F1ACD77">
        <w:rPr>
          <w:rFonts w:eastAsia="MS Gothic" w:cstheme="minorBidi"/>
          <w:sz w:val="24"/>
          <w:szCs w:val="24"/>
        </w:rPr>
        <w:t xml:space="preserve"> through Creative HQ Ltd</w:t>
      </w:r>
    </w:p>
    <w:p w14:paraId="4762C7B0" w14:textId="32383EE1" w:rsidR="5BE0B57F" w:rsidRDefault="5BE0B57F" w:rsidP="68952F3F">
      <w:pPr>
        <w:pStyle w:val="BodyBulletL1"/>
        <w:spacing w:after="0" w:line="276" w:lineRule="auto"/>
        <w:ind w:left="1066"/>
        <w:rPr>
          <w:rFonts w:eastAsia="MS Gothic" w:cstheme="minorBidi"/>
          <w:sz w:val="24"/>
          <w:szCs w:val="24"/>
        </w:rPr>
      </w:pPr>
      <w:r w:rsidRPr="68952F3F">
        <w:rPr>
          <w:rFonts w:eastAsia="MS Gothic" w:cstheme="minorBidi"/>
          <w:sz w:val="24"/>
          <w:szCs w:val="24"/>
        </w:rPr>
        <w:t>Supporting businesses to grow</w:t>
      </w:r>
    </w:p>
    <w:p w14:paraId="23080079" w14:textId="7104EA61" w:rsidR="68952F3F" w:rsidRDefault="68952F3F" w:rsidP="68952F3F">
      <w:pPr>
        <w:pStyle w:val="Body"/>
        <w:spacing w:after="0" w:line="276" w:lineRule="auto"/>
        <w:rPr>
          <w:rFonts w:eastAsia="MS Gothic" w:cstheme="minorBidi"/>
          <w:b/>
          <w:bCs/>
          <w:sz w:val="24"/>
          <w:szCs w:val="24"/>
        </w:rPr>
      </w:pPr>
    </w:p>
    <w:p w14:paraId="02608248" w14:textId="102A9BB7" w:rsidR="5BE0B57F" w:rsidRDefault="5BE0B57F" w:rsidP="00D862C7">
      <w:pPr>
        <w:pStyle w:val="Body"/>
        <w:spacing w:after="0" w:line="276" w:lineRule="auto"/>
      </w:pPr>
      <w:r w:rsidRPr="68952F3F">
        <w:t>WellingtonNZ’s activities are guided by the Wellington Regional Economic Development Plan. Shareholding is split between WCC (80%) and Greater Wellington Regional Council (20%).</w:t>
      </w:r>
    </w:p>
    <w:p w14:paraId="71DEFC50" w14:textId="3A18E1CD" w:rsidR="68952F3F" w:rsidRDefault="68952F3F" w:rsidP="68952F3F">
      <w:pPr>
        <w:pStyle w:val="Body"/>
        <w:spacing w:after="0" w:line="276" w:lineRule="auto"/>
        <w:rPr>
          <w:rFonts w:eastAsia="MS Gothic" w:cstheme="minorBidi"/>
          <w:b/>
          <w:bCs/>
          <w:sz w:val="24"/>
          <w:szCs w:val="24"/>
        </w:rPr>
      </w:pPr>
    </w:p>
    <w:p w14:paraId="51817C1C" w14:textId="77777777" w:rsidR="00671989" w:rsidRPr="00E6041E" w:rsidRDefault="42C39B33" w:rsidP="00FD0FE2">
      <w:pPr>
        <w:pStyle w:val="Body"/>
        <w:spacing w:after="0" w:line="276" w:lineRule="auto"/>
        <w:rPr>
          <w:rFonts w:eastAsia="MS Gothic" w:cstheme="minorHAnsi"/>
          <w:b/>
          <w:sz w:val="24"/>
          <w:szCs w:val="24"/>
        </w:rPr>
      </w:pPr>
      <w:r w:rsidRPr="00E6041E">
        <w:rPr>
          <w:rFonts w:eastAsia="MS Gothic" w:cstheme="minorHAnsi"/>
          <w:b/>
          <w:sz w:val="24"/>
          <w:szCs w:val="24"/>
        </w:rPr>
        <w:t xml:space="preserve">Additional activities: </w:t>
      </w:r>
    </w:p>
    <w:p w14:paraId="6F8322DF" w14:textId="2BEBAF49" w:rsidR="00671989" w:rsidRPr="00E6041E" w:rsidRDefault="42C39B33" w:rsidP="00FD0FE2">
      <w:pPr>
        <w:pStyle w:val="BodyBulletL1"/>
        <w:spacing w:after="0" w:line="276" w:lineRule="auto"/>
        <w:ind w:left="1066"/>
        <w:rPr>
          <w:rFonts w:cstheme="minorBidi"/>
          <w:sz w:val="24"/>
          <w:szCs w:val="24"/>
        </w:rPr>
      </w:pPr>
      <w:r w:rsidRPr="0370245F">
        <w:rPr>
          <w:rFonts w:cstheme="minorBidi"/>
          <w:sz w:val="24"/>
          <w:szCs w:val="24"/>
        </w:rPr>
        <w:t>Funding the Wellington Regional Stadium Trust for sports, cultural, and community events.</w:t>
      </w:r>
    </w:p>
    <w:p w14:paraId="55D6FAF3" w14:textId="3CFDA094" w:rsidR="00F6625A" w:rsidRPr="00E6041E" w:rsidRDefault="42C39B33" w:rsidP="00FD0FE2">
      <w:pPr>
        <w:pStyle w:val="BodyBulletL1"/>
        <w:spacing w:after="0" w:line="276" w:lineRule="auto"/>
        <w:ind w:left="1066"/>
        <w:rPr>
          <w:rFonts w:cstheme="minorHAnsi"/>
          <w:sz w:val="24"/>
          <w:szCs w:val="24"/>
        </w:rPr>
        <w:sectPr w:rsidR="00F6625A" w:rsidRPr="00E6041E" w:rsidSect="00AB2416">
          <w:headerReference w:type="even" r:id="rId14"/>
          <w:headerReference w:type="default" r:id="rId15"/>
          <w:footerReference w:type="even" r:id="rId16"/>
          <w:footerReference w:type="default" r:id="rId17"/>
          <w:headerReference w:type="first" r:id="rId18"/>
          <w:footerReference w:type="first" r:id="rId19"/>
          <w:pgSz w:w="11901" w:h="16840" w:code="9"/>
          <w:pgMar w:top="878" w:right="1134" w:bottom="1418" w:left="1134" w:header="403" w:footer="203" w:gutter="0"/>
          <w:pgNumType w:start="0"/>
          <w:cols w:space="708"/>
          <w:titlePg/>
          <w:docGrid w:linePitch="326"/>
        </w:sectPr>
      </w:pPr>
      <w:r w:rsidRPr="00E6041E">
        <w:rPr>
          <w:rFonts w:cstheme="minorHAnsi"/>
          <w:sz w:val="24"/>
          <w:szCs w:val="24"/>
        </w:rPr>
        <w:t>Supporting Zealandia</w:t>
      </w:r>
      <w:r w:rsidR="7C006DC1" w:rsidRPr="00E6041E">
        <w:rPr>
          <w:rFonts w:cstheme="minorHAnsi"/>
          <w:sz w:val="24"/>
          <w:szCs w:val="24"/>
        </w:rPr>
        <w:t xml:space="preserve"> te Māra a Tāne</w:t>
      </w:r>
      <w:r w:rsidRPr="00E6041E">
        <w:rPr>
          <w:rFonts w:cstheme="minorHAnsi"/>
          <w:sz w:val="24"/>
          <w:szCs w:val="24"/>
        </w:rPr>
        <w:t xml:space="preserve"> and </w:t>
      </w:r>
      <w:r w:rsidR="2BE65F6E" w:rsidRPr="00E6041E">
        <w:rPr>
          <w:rFonts w:cstheme="minorHAnsi"/>
          <w:sz w:val="24"/>
          <w:szCs w:val="24"/>
        </w:rPr>
        <w:t xml:space="preserve">Te </w:t>
      </w:r>
      <w:proofErr w:type="spellStart"/>
      <w:r w:rsidR="2BE65F6E" w:rsidRPr="00E6041E">
        <w:rPr>
          <w:rFonts w:cstheme="minorHAnsi"/>
          <w:sz w:val="24"/>
          <w:szCs w:val="24"/>
        </w:rPr>
        <w:t>Nukuao</w:t>
      </w:r>
      <w:proofErr w:type="spellEnd"/>
      <w:r w:rsidR="2BE65F6E" w:rsidRPr="00E6041E">
        <w:rPr>
          <w:rFonts w:cstheme="minorHAnsi"/>
          <w:sz w:val="24"/>
          <w:szCs w:val="24"/>
        </w:rPr>
        <w:t xml:space="preserve"> </w:t>
      </w:r>
      <w:r w:rsidRPr="00E6041E">
        <w:rPr>
          <w:rFonts w:cstheme="minorHAnsi"/>
          <w:sz w:val="24"/>
          <w:szCs w:val="24"/>
        </w:rPr>
        <w:t>Wellington Zoo as major visitor attractions and conservation successes (funded through the Conservation Organisations budget).</w:t>
      </w:r>
    </w:p>
    <w:p w14:paraId="416838FA" w14:textId="77777777" w:rsidR="007D299A" w:rsidRPr="00153945" w:rsidRDefault="007D299A" w:rsidP="3C7EFEEB">
      <w:pPr>
        <w:pStyle w:val="Heading2"/>
        <w:rPr>
          <w:rFonts w:asciiTheme="minorHAnsi" w:hAnsiTheme="minorHAnsi" w:cstheme="minorBidi"/>
          <w:sz w:val="32"/>
          <w:szCs w:val="32"/>
        </w:rPr>
      </w:pPr>
      <w:bookmarkStart w:id="12" w:name="_Toc223964605"/>
      <w:r w:rsidRPr="3C7EFEEB">
        <w:rPr>
          <w:rFonts w:asciiTheme="minorHAnsi" w:hAnsiTheme="minorHAnsi" w:cstheme="minorBidi"/>
          <w:sz w:val="36"/>
          <w:szCs w:val="36"/>
        </w:rPr>
        <w:t>Budget</w:t>
      </w:r>
      <w:bookmarkEnd w:id="12"/>
      <w:r w:rsidRPr="3C7EFEEB">
        <w:rPr>
          <w:rFonts w:asciiTheme="minorHAnsi" w:hAnsiTheme="minorHAnsi" w:cstheme="minorBidi"/>
          <w:sz w:val="32"/>
          <w:szCs w:val="32"/>
        </w:rPr>
        <w:t xml:space="preserve"> </w:t>
      </w:r>
    </w:p>
    <w:p w14:paraId="355C4E36" w14:textId="77777777" w:rsidR="00D02FF9" w:rsidRPr="00E6041E" w:rsidRDefault="66408DBF" w:rsidP="4E0FE161">
      <w:pPr>
        <w:pStyle w:val="Body"/>
        <w:rPr>
          <w:rFonts w:cstheme="minorHAnsi"/>
          <w:sz w:val="24"/>
          <w:szCs w:val="24"/>
        </w:rPr>
      </w:pPr>
      <w:r w:rsidRPr="00E6041E">
        <w:rPr>
          <w:rFonts w:cstheme="minorHAnsi"/>
          <w:sz w:val="24"/>
          <w:szCs w:val="24"/>
        </w:rPr>
        <w:t>You can find more information in the LTP 2024 Amendment.</w:t>
      </w:r>
      <w:r w:rsidR="00D02FF9" w:rsidRPr="00E6041E">
        <w:rPr>
          <w:rStyle w:val="FootnoteReference"/>
          <w:rFonts w:cstheme="minorHAnsi"/>
          <w:sz w:val="24"/>
          <w:szCs w:val="24"/>
        </w:rPr>
        <w:footnoteReference w:id="1"/>
      </w:r>
    </w:p>
    <w:p w14:paraId="31313999" w14:textId="006E01C6" w:rsidR="00D02FF9" w:rsidRPr="00E6041E" w:rsidRDefault="66408DBF" w:rsidP="4E0FE161">
      <w:pPr>
        <w:pStyle w:val="Body"/>
        <w:rPr>
          <w:rFonts w:cstheme="minorHAnsi"/>
          <w:sz w:val="24"/>
          <w:szCs w:val="24"/>
        </w:rPr>
      </w:pPr>
      <w:r w:rsidRPr="00E6041E">
        <w:rPr>
          <w:rFonts w:cstheme="minorHAnsi"/>
          <w:sz w:val="24"/>
          <w:szCs w:val="24"/>
        </w:rPr>
        <w:t xml:space="preserve">Percentage of total </w:t>
      </w:r>
      <w:r w:rsidR="00FD0FE2">
        <w:rPr>
          <w:rFonts w:cstheme="minorHAnsi"/>
          <w:sz w:val="24"/>
          <w:szCs w:val="24"/>
        </w:rPr>
        <w:t>C</w:t>
      </w:r>
      <w:r w:rsidRPr="00E6041E">
        <w:rPr>
          <w:rFonts w:cstheme="minorHAnsi"/>
          <w:sz w:val="24"/>
          <w:szCs w:val="24"/>
        </w:rPr>
        <w:t>ouncil spend:</w:t>
      </w:r>
    </w:p>
    <w:p w14:paraId="487B5D1A" w14:textId="4ACCB742" w:rsidR="00D02FF9" w:rsidRPr="00F65B06" w:rsidRDefault="66408DBF" w:rsidP="4E0FE161">
      <w:pPr>
        <w:pStyle w:val="Body"/>
        <w:rPr>
          <w:rFonts w:cstheme="minorHAnsi"/>
          <w:sz w:val="24"/>
          <w:szCs w:val="24"/>
        </w:rPr>
      </w:pPr>
      <w:r w:rsidRPr="00F65B06">
        <w:rPr>
          <w:rFonts w:cstheme="minorHAnsi"/>
          <w:sz w:val="24"/>
          <w:szCs w:val="24"/>
        </w:rPr>
        <w:t xml:space="preserve">Opex – </w:t>
      </w:r>
      <w:r w:rsidR="3115B93F" w:rsidRPr="00F65B06">
        <w:rPr>
          <w:rFonts w:cstheme="minorHAnsi"/>
          <w:sz w:val="24"/>
          <w:szCs w:val="24"/>
        </w:rPr>
        <w:t>5.9</w:t>
      </w:r>
      <w:r w:rsidRPr="00F65B06">
        <w:rPr>
          <w:rFonts w:cstheme="minorHAnsi"/>
          <w:sz w:val="24"/>
          <w:szCs w:val="24"/>
        </w:rPr>
        <w:t>%</w:t>
      </w:r>
    </w:p>
    <w:p w14:paraId="3FAF82F7" w14:textId="2FF7D153" w:rsidR="00D02FF9" w:rsidRPr="00F65B06" w:rsidRDefault="4DE516A4" w:rsidP="5325F885">
      <w:pPr>
        <w:pStyle w:val="Body"/>
        <w:rPr>
          <w:rFonts w:cstheme="minorHAnsi"/>
          <w:color w:val="000000" w:themeColor="text1"/>
          <w:sz w:val="24"/>
          <w:szCs w:val="24"/>
        </w:rPr>
      </w:pPr>
      <w:r w:rsidRPr="00F65B06">
        <w:rPr>
          <w:rFonts w:cstheme="minorHAnsi"/>
          <w:color w:val="000000" w:themeColor="text1"/>
          <w:sz w:val="24"/>
          <w:szCs w:val="24"/>
        </w:rPr>
        <w:t xml:space="preserve">Capex – </w:t>
      </w:r>
      <w:r w:rsidR="3FBC7B73" w:rsidRPr="00F65B06">
        <w:rPr>
          <w:rFonts w:cstheme="minorHAnsi"/>
          <w:color w:val="000000" w:themeColor="text1"/>
          <w:sz w:val="24"/>
          <w:szCs w:val="24"/>
        </w:rPr>
        <w:t>0.6</w:t>
      </w:r>
      <w:r w:rsidRPr="00F65B06">
        <w:rPr>
          <w:rFonts w:cstheme="minorHAnsi"/>
          <w:color w:val="000000" w:themeColor="text1"/>
          <w:sz w:val="24"/>
          <w:szCs w:val="24"/>
        </w:rPr>
        <w:t>%</w:t>
      </w:r>
    </w:p>
    <w:p w14:paraId="152A91BF" w14:textId="47A0C0CF" w:rsidR="007D299A" w:rsidRPr="00E6041E" w:rsidRDefault="007D299A" w:rsidP="4E0FE161">
      <w:pPr>
        <w:rPr>
          <w:rFonts w:cstheme="minorHAnsi"/>
          <w:sz w:val="24"/>
          <w:szCs w:val="24"/>
        </w:rPr>
      </w:pPr>
    </w:p>
    <w:p w14:paraId="5A30DA26" w14:textId="553F3C87" w:rsidR="00510F78" w:rsidRPr="00E6041E" w:rsidRDefault="138961F1" w:rsidP="4E0FE161">
      <w:pPr>
        <w:pStyle w:val="TableHeading"/>
        <w:rPr>
          <w:rFonts w:asciiTheme="minorHAnsi" w:hAnsiTheme="minorHAnsi" w:cstheme="minorHAnsi"/>
          <w:sz w:val="24"/>
          <w:szCs w:val="24"/>
        </w:rPr>
      </w:pPr>
      <w:r w:rsidRPr="00E6041E">
        <w:rPr>
          <w:rFonts w:asciiTheme="minorHAnsi" w:hAnsiTheme="minorHAnsi" w:cstheme="minorHAnsi"/>
          <w:sz w:val="24"/>
          <w:szCs w:val="24"/>
        </w:rPr>
        <w:t>Operating expenditure</w:t>
      </w:r>
    </w:p>
    <w:tbl>
      <w:tblPr>
        <w:tblW w:w="14459" w:type="dxa"/>
        <w:tblLayout w:type="fixed"/>
        <w:tblCellMar>
          <w:left w:w="57" w:type="dxa"/>
          <w:right w:w="57" w:type="dxa"/>
        </w:tblCellMar>
        <w:tblLook w:val="04A0" w:firstRow="1" w:lastRow="0" w:firstColumn="1" w:lastColumn="0" w:noHBand="0" w:noVBand="1"/>
      </w:tblPr>
      <w:tblGrid>
        <w:gridCol w:w="1843"/>
        <w:gridCol w:w="992"/>
        <w:gridCol w:w="1162"/>
        <w:gridCol w:w="1162"/>
        <w:gridCol w:w="1163"/>
        <w:gridCol w:w="1162"/>
        <w:gridCol w:w="1163"/>
        <w:gridCol w:w="1162"/>
        <w:gridCol w:w="1162"/>
        <w:gridCol w:w="1163"/>
        <w:gridCol w:w="1162"/>
        <w:gridCol w:w="1163"/>
      </w:tblGrid>
      <w:tr w:rsidR="00510F78" w:rsidRPr="00E6041E" w14:paraId="73273B08" w14:textId="77777777" w:rsidTr="00E563CC">
        <w:trPr>
          <w:trHeight w:val="300"/>
        </w:trPr>
        <w:tc>
          <w:tcPr>
            <w:tcW w:w="1843" w:type="dxa"/>
            <w:shd w:val="clear" w:color="auto" w:fill="FFDE00" w:themeFill="accent1"/>
            <w:noWrap/>
            <w:hideMark/>
          </w:tcPr>
          <w:p w14:paraId="40BC0FAB"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Activity Component Name</w:t>
            </w:r>
          </w:p>
        </w:tc>
        <w:tc>
          <w:tcPr>
            <w:tcW w:w="992" w:type="dxa"/>
            <w:shd w:val="clear" w:color="auto" w:fill="FFDE00" w:themeFill="accent1"/>
            <w:noWrap/>
            <w:hideMark/>
          </w:tcPr>
          <w:p w14:paraId="09B1F668"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Income/</w:t>
            </w:r>
            <w:r w:rsidRPr="00E6041E">
              <w:rPr>
                <w:rFonts w:asciiTheme="minorHAnsi" w:hAnsiTheme="minorHAnsi" w:cstheme="minorHAnsi"/>
                <w:bCs/>
              </w:rPr>
              <w:br/>
            </w:r>
            <w:r w:rsidRPr="00E6041E">
              <w:rPr>
                <w:rFonts w:asciiTheme="minorHAnsi" w:hAnsiTheme="minorHAnsi" w:cstheme="minorHAnsi"/>
              </w:rPr>
              <w:t>Expense</w:t>
            </w:r>
          </w:p>
        </w:tc>
        <w:tc>
          <w:tcPr>
            <w:tcW w:w="1162" w:type="dxa"/>
            <w:shd w:val="clear" w:color="auto" w:fill="FFDE00" w:themeFill="accent1"/>
            <w:noWrap/>
            <w:hideMark/>
          </w:tcPr>
          <w:p w14:paraId="0B469ABF"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2024/25</w:t>
            </w:r>
          </w:p>
        </w:tc>
        <w:tc>
          <w:tcPr>
            <w:tcW w:w="1162" w:type="dxa"/>
            <w:shd w:val="clear" w:color="auto" w:fill="FFDE00" w:themeFill="accent1"/>
            <w:noWrap/>
            <w:hideMark/>
          </w:tcPr>
          <w:p w14:paraId="2EAB563F"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2025/26</w:t>
            </w:r>
          </w:p>
        </w:tc>
        <w:tc>
          <w:tcPr>
            <w:tcW w:w="1163" w:type="dxa"/>
            <w:shd w:val="clear" w:color="auto" w:fill="FFDE00" w:themeFill="accent1"/>
            <w:noWrap/>
            <w:hideMark/>
          </w:tcPr>
          <w:p w14:paraId="7E1885F3"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2026/27</w:t>
            </w:r>
          </w:p>
        </w:tc>
        <w:tc>
          <w:tcPr>
            <w:tcW w:w="1162" w:type="dxa"/>
            <w:shd w:val="clear" w:color="auto" w:fill="FFDE00" w:themeFill="accent1"/>
            <w:noWrap/>
            <w:hideMark/>
          </w:tcPr>
          <w:p w14:paraId="0DD7BE08"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2027/28</w:t>
            </w:r>
          </w:p>
        </w:tc>
        <w:tc>
          <w:tcPr>
            <w:tcW w:w="1163" w:type="dxa"/>
            <w:shd w:val="clear" w:color="auto" w:fill="FFDE00" w:themeFill="accent1"/>
            <w:noWrap/>
            <w:hideMark/>
          </w:tcPr>
          <w:p w14:paraId="28A1EB09"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2028/29</w:t>
            </w:r>
          </w:p>
        </w:tc>
        <w:tc>
          <w:tcPr>
            <w:tcW w:w="1162" w:type="dxa"/>
            <w:shd w:val="clear" w:color="auto" w:fill="FFDE00" w:themeFill="accent1"/>
            <w:noWrap/>
            <w:hideMark/>
          </w:tcPr>
          <w:p w14:paraId="66C27F99"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2029/30</w:t>
            </w:r>
          </w:p>
        </w:tc>
        <w:tc>
          <w:tcPr>
            <w:tcW w:w="1162" w:type="dxa"/>
            <w:shd w:val="clear" w:color="auto" w:fill="FFDE00" w:themeFill="accent1"/>
            <w:noWrap/>
            <w:hideMark/>
          </w:tcPr>
          <w:p w14:paraId="4EA60DC9"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2030/31</w:t>
            </w:r>
          </w:p>
        </w:tc>
        <w:tc>
          <w:tcPr>
            <w:tcW w:w="1163" w:type="dxa"/>
            <w:shd w:val="clear" w:color="auto" w:fill="FFDE00" w:themeFill="accent1"/>
            <w:noWrap/>
            <w:hideMark/>
          </w:tcPr>
          <w:p w14:paraId="536BC5DD"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2031/32</w:t>
            </w:r>
          </w:p>
        </w:tc>
        <w:tc>
          <w:tcPr>
            <w:tcW w:w="1162" w:type="dxa"/>
            <w:shd w:val="clear" w:color="auto" w:fill="FFDE00" w:themeFill="accent1"/>
            <w:noWrap/>
            <w:hideMark/>
          </w:tcPr>
          <w:p w14:paraId="68929410"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2032/33</w:t>
            </w:r>
          </w:p>
        </w:tc>
        <w:tc>
          <w:tcPr>
            <w:tcW w:w="1163" w:type="dxa"/>
            <w:shd w:val="clear" w:color="auto" w:fill="FFDE00" w:themeFill="accent1"/>
            <w:noWrap/>
            <w:hideMark/>
          </w:tcPr>
          <w:p w14:paraId="5A470F6A" w14:textId="77777777" w:rsidR="00510F78" w:rsidRPr="00E6041E" w:rsidRDefault="00510F78">
            <w:pPr>
              <w:pStyle w:val="Tableheading0"/>
              <w:rPr>
                <w:rFonts w:asciiTheme="minorHAnsi" w:hAnsiTheme="minorHAnsi" w:cstheme="minorHAnsi"/>
              </w:rPr>
            </w:pPr>
            <w:r w:rsidRPr="00E6041E">
              <w:rPr>
                <w:rFonts w:asciiTheme="minorHAnsi" w:hAnsiTheme="minorHAnsi" w:cstheme="minorHAnsi"/>
              </w:rPr>
              <w:t>2033/34</w:t>
            </w:r>
          </w:p>
        </w:tc>
      </w:tr>
      <w:tr w:rsidR="00510F78" w:rsidRPr="00E6041E" w14:paraId="58B1E251" w14:textId="77777777" w:rsidTr="006C09AF">
        <w:trPr>
          <w:trHeight w:val="300"/>
        </w:trPr>
        <w:tc>
          <w:tcPr>
            <w:tcW w:w="1843" w:type="dxa"/>
            <w:vMerge w:val="restart"/>
            <w:tcBorders>
              <w:bottom w:val="single" w:sz="4" w:space="0" w:color="auto"/>
            </w:tcBorders>
            <w:shd w:val="clear" w:color="auto" w:fill="E5E6E8" w:themeFill="accent2" w:themeFillTint="33"/>
            <w:noWrap/>
            <w:hideMark/>
          </w:tcPr>
          <w:p w14:paraId="4310A6D4" w14:textId="77777777" w:rsidR="00510F78" w:rsidRPr="00E6041E" w:rsidRDefault="00510F78">
            <w:pPr>
              <w:spacing w:before="20" w:after="20"/>
              <w:rPr>
                <w:rFonts w:cstheme="minorHAnsi"/>
                <w:sz w:val="19"/>
                <w:szCs w:val="19"/>
              </w:rPr>
            </w:pPr>
            <w:r w:rsidRPr="00E6041E">
              <w:rPr>
                <w:rFonts w:cstheme="minorHAnsi"/>
                <w:sz w:val="19"/>
                <w:szCs w:val="19"/>
              </w:rPr>
              <w:t>3.1.1 WellingtonNZ and Venues Wellington</w:t>
            </w:r>
          </w:p>
        </w:tc>
        <w:tc>
          <w:tcPr>
            <w:tcW w:w="992" w:type="dxa"/>
            <w:tcBorders>
              <w:bottom w:val="single" w:sz="4" w:space="0" w:color="auto"/>
            </w:tcBorders>
            <w:noWrap/>
            <w:hideMark/>
          </w:tcPr>
          <w:p w14:paraId="70DCF5D8" w14:textId="77777777" w:rsidR="00510F78" w:rsidRPr="00E6041E" w:rsidRDefault="00510F78">
            <w:pPr>
              <w:spacing w:before="20" w:after="20"/>
              <w:rPr>
                <w:rFonts w:cstheme="minorHAnsi"/>
                <w:sz w:val="19"/>
                <w:szCs w:val="19"/>
              </w:rPr>
            </w:pPr>
            <w:r w:rsidRPr="00E6041E">
              <w:rPr>
                <w:rFonts w:cstheme="minorHAnsi"/>
                <w:sz w:val="19"/>
                <w:szCs w:val="19"/>
              </w:rPr>
              <w:t>Expense</w:t>
            </w:r>
          </w:p>
        </w:tc>
        <w:tc>
          <w:tcPr>
            <w:tcW w:w="1162" w:type="dxa"/>
            <w:tcBorders>
              <w:bottom w:val="single" w:sz="4" w:space="0" w:color="auto"/>
            </w:tcBorders>
            <w:noWrap/>
          </w:tcPr>
          <w:p w14:paraId="67D04FB6" w14:textId="77777777" w:rsidR="00510F78" w:rsidRPr="00E6041E" w:rsidRDefault="00510F78">
            <w:pPr>
              <w:spacing w:before="20" w:after="20"/>
              <w:jc w:val="right"/>
              <w:rPr>
                <w:rFonts w:cstheme="minorHAnsi"/>
                <w:sz w:val="19"/>
                <w:szCs w:val="19"/>
              </w:rPr>
            </w:pPr>
            <w:r w:rsidRPr="00E6041E">
              <w:rPr>
                <w:rFonts w:cstheme="minorHAnsi"/>
                <w:sz w:val="19"/>
                <w:szCs w:val="19"/>
              </w:rPr>
              <w:t>34,069</w:t>
            </w:r>
          </w:p>
        </w:tc>
        <w:tc>
          <w:tcPr>
            <w:tcW w:w="1162" w:type="dxa"/>
            <w:tcBorders>
              <w:bottom w:val="single" w:sz="4" w:space="0" w:color="auto"/>
            </w:tcBorders>
            <w:noWrap/>
          </w:tcPr>
          <w:p w14:paraId="3D8ED6DA" w14:textId="77777777" w:rsidR="00510F78" w:rsidRPr="00E6041E" w:rsidRDefault="00510F78">
            <w:pPr>
              <w:spacing w:before="20" w:after="20"/>
              <w:jc w:val="right"/>
              <w:rPr>
                <w:rFonts w:cstheme="minorHAnsi"/>
                <w:sz w:val="19"/>
                <w:szCs w:val="19"/>
              </w:rPr>
            </w:pPr>
            <w:r w:rsidRPr="00E6041E">
              <w:rPr>
                <w:rFonts w:cstheme="minorHAnsi"/>
                <w:sz w:val="19"/>
                <w:szCs w:val="19"/>
              </w:rPr>
              <w:t>35,141</w:t>
            </w:r>
          </w:p>
        </w:tc>
        <w:tc>
          <w:tcPr>
            <w:tcW w:w="1163" w:type="dxa"/>
            <w:tcBorders>
              <w:bottom w:val="single" w:sz="4" w:space="0" w:color="auto"/>
            </w:tcBorders>
            <w:noWrap/>
          </w:tcPr>
          <w:p w14:paraId="2BD54BF4" w14:textId="77777777" w:rsidR="00510F78" w:rsidRPr="00E6041E" w:rsidRDefault="00510F78">
            <w:pPr>
              <w:spacing w:before="20" w:after="20"/>
              <w:jc w:val="right"/>
              <w:rPr>
                <w:rFonts w:cstheme="minorHAnsi"/>
                <w:sz w:val="19"/>
                <w:szCs w:val="19"/>
              </w:rPr>
            </w:pPr>
            <w:r w:rsidRPr="00E6041E">
              <w:rPr>
                <w:rFonts w:cstheme="minorHAnsi"/>
                <w:sz w:val="19"/>
                <w:szCs w:val="19"/>
              </w:rPr>
              <w:t>39,471</w:t>
            </w:r>
          </w:p>
        </w:tc>
        <w:tc>
          <w:tcPr>
            <w:tcW w:w="1162" w:type="dxa"/>
            <w:tcBorders>
              <w:bottom w:val="single" w:sz="4" w:space="0" w:color="auto"/>
            </w:tcBorders>
            <w:noWrap/>
          </w:tcPr>
          <w:p w14:paraId="30CF928E" w14:textId="77777777" w:rsidR="00510F78" w:rsidRPr="00E6041E" w:rsidRDefault="00510F78">
            <w:pPr>
              <w:spacing w:before="20" w:after="20"/>
              <w:jc w:val="right"/>
              <w:rPr>
                <w:rFonts w:cstheme="minorHAnsi"/>
                <w:sz w:val="19"/>
                <w:szCs w:val="19"/>
              </w:rPr>
            </w:pPr>
            <w:r w:rsidRPr="00E6041E">
              <w:rPr>
                <w:rFonts w:cstheme="minorHAnsi"/>
                <w:sz w:val="19"/>
                <w:szCs w:val="19"/>
              </w:rPr>
              <w:t>40,380</w:t>
            </w:r>
          </w:p>
        </w:tc>
        <w:tc>
          <w:tcPr>
            <w:tcW w:w="1163" w:type="dxa"/>
            <w:tcBorders>
              <w:bottom w:val="single" w:sz="4" w:space="0" w:color="auto"/>
            </w:tcBorders>
            <w:noWrap/>
          </w:tcPr>
          <w:p w14:paraId="26360CEE" w14:textId="77777777" w:rsidR="00510F78" w:rsidRPr="00E6041E" w:rsidRDefault="00510F78">
            <w:pPr>
              <w:spacing w:before="20" w:after="20"/>
              <w:jc w:val="right"/>
              <w:rPr>
                <w:rFonts w:cstheme="minorHAnsi"/>
                <w:sz w:val="19"/>
                <w:szCs w:val="19"/>
              </w:rPr>
            </w:pPr>
            <w:r w:rsidRPr="00E6041E">
              <w:rPr>
                <w:rFonts w:cstheme="minorHAnsi"/>
                <w:sz w:val="19"/>
                <w:szCs w:val="19"/>
              </w:rPr>
              <w:t>41,173</w:t>
            </w:r>
          </w:p>
        </w:tc>
        <w:tc>
          <w:tcPr>
            <w:tcW w:w="1162" w:type="dxa"/>
            <w:tcBorders>
              <w:bottom w:val="single" w:sz="4" w:space="0" w:color="auto"/>
            </w:tcBorders>
            <w:noWrap/>
          </w:tcPr>
          <w:p w14:paraId="029ADAE9" w14:textId="77777777" w:rsidR="00510F78" w:rsidRPr="00E6041E" w:rsidRDefault="00510F78">
            <w:pPr>
              <w:spacing w:before="20" w:after="20"/>
              <w:jc w:val="right"/>
              <w:rPr>
                <w:rFonts w:cstheme="minorHAnsi"/>
                <w:sz w:val="19"/>
                <w:szCs w:val="19"/>
              </w:rPr>
            </w:pPr>
            <w:r w:rsidRPr="00E6041E">
              <w:rPr>
                <w:rFonts w:cstheme="minorHAnsi"/>
                <w:sz w:val="19"/>
                <w:szCs w:val="19"/>
              </w:rPr>
              <w:t>42,221</w:t>
            </w:r>
          </w:p>
        </w:tc>
        <w:tc>
          <w:tcPr>
            <w:tcW w:w="1162" w:type="dxa"/>
            <w:tcBorders>
              <w:bottom w:val="single" w:sz="4" w:space="0" w:color="auto"/>
            </w:tcBorders>
            <w:noWrap/>
          </w:tcPr>
          <w:p w14:paraId="09CCC4F6" w14:textId="77777777" w:rsidR="00510F78" w:rsidRPr="00E6041E" w:rsidRDefault="00510F78">
            <w:pPr>
              <w:spacing w:before="20" w:after="20"/>
              <w:jc w:val="right"/>
              <w:rPr>
                <w:rFonts w:cstheme="minorHAnsi"/>
                <w:sz w:val="19"/>
                <w:szCs w:val="19"/>
              </w:rPr>
            </w:pPr>
            <w:r w:rsidRPr="00E6041E">
              <w:rPr>
                <w:rFonts w:cstheme="minorHAnsi"/>
                <w:sz w:val="19"/>
                <w:szCs w:val="19"/>
              </w:rPr>
              <w:t>43,143</w:t>
            </w:r>
          </w:p>
        </w:tc>
        <w:tc>
          <w:tcPr>
            <w:tcW w:w="1163" w:type="dxa"/>
            <w:tcBorders>
              <w:bottom w:val="single" w:sz="4" w:space="0" w:color="auto"/>
            </w:tcBorders>
            <w:noWrap/>
          </w:tcPr>
          <w:p w14:paraId="0FACBA35" w14:textId="77777777" w:rsidR="00510F78" w:rsidRPr="00E6041E" w:rsidRDefault="00510F78">
            <w:pPr>
              <w:spacing w:before="20" w:after="20"/>
              <w:jc w:val="right"/>
              <w:rPr>
                <w:rFonts w:cstheme="minorHAnsi"/>
                <w:sz w:val="19"/>
                <w:szCs w:val="19"/>
              </w:rPr>
            </w:pPr>
            <w:r w:rsidRPr="00E6041E">
              <w:rPr>
                <w:rFonts w:cstheme="minorHAnsi"/>
                <w:sz w:val="19"/>
                <w:szCs w:val="19"/>
              </w:rPr>
              <w:t>43,954</w:t>
            </w:r>
          </w:p>
        </w:tc>
        <w:tc>
          <w:tcPr>
            <w:tcW w:w="1162" w:type="dxa"/>
            <w:tcBorders>
              <w:bottom w:val="single" w:sz="4" w:space="0" w:color="auto"/>
            </w:tcBorders>
            <w:noWrap/>
          </w:tcPr>
          <w:p w14:paraId="70704D7F" w14:textId="77777777" w:rsidR="00510F78" w:rsidRPr="00E6041E" w:rsidRDefault="00510F78">
            <w:pPr>
              <w:spacing w:before="20" w:after="20"/>
              <w:jc w:val="right"/>
              <w:rPr>
                <w:rFonts w:cstheme="minorHAnsi"/>
                <w:sz w:val="19"/>
                <w:szCs w:val="19"/>
              </w:rPr>
            </w:pPr>
            <w:r w:rsidRPr="00E6041E">
              <w:rPr>
                <w:rFonts w:cstheme="minorHAnsi"/>
                <w:sz w:val="19"/>
                <w:szCs w:val="19"/>
              </w:rPr>
              <w:t>44,527</w:t>
            </w:r>
          </w:p>
        </w:tc>
        <w:tc>
          <w:tcPr>
            <w:tcW w:w="1163" w:type="dxa"/>
            <w:tcBorders>
              <w:bottom w:val="single" w:sz="4" w:space="0" w:color="auto"/>
            </w:tcBorders>
            <w:noWrap/>
          </w:tcPr>
          <w:p w14:paraId="1F59F251" w14:textId="77777777" w:rsidR="00510F78" w:rsidRPr="00E6041E" w:rsidRDefault="00510F78">
            <w:pPr>
              <w:spacing w:before="20" w:after="20"/>
              <w:jc w:val="right"/>
              <w:rPr>
                <w:rFonts w:cstheme="minorHAnsi"/>
                <w:sz w:val="19"/>
                <w:szCs w:val="19"/>
              </w:rPr>
            </w:pPr>
            <w:r w:rsidRPr="00E6041E">
              <w:rPr>
                <w:rFonts w:cstheme="minorHAnsi"/>
                <w:sz w:val="19"/>
                <w:szCs w:val="19"/>
              </w:rPr>
              <w:t>45,351</w:t>
            </w:r>
          </w:p>
        </w:tc>
      </w:tr>
      <w:tr w:rsidR="00510F78" w:rsidRPr="00E6041E" w14:paraId="2E5E6944" w14:textId="77777777" w:rsidTr="006C09AF">
        <w:trPr>
          <w:trHeight w:val="300"/>
        </w:trPr>
        <w:tc>
          <w:tcPr>
            <w:tcW w:w="1843" w:type="dxa"/>
            <w:vMerge/>
            <w:tcBorders>
              <w:top w:val="single" w:sz="4" w:space="0" w:color="auto"/>
              <w:bottom w:val="single" w:sz="4" w:space="0" w:color="auto"/>
            </w:tcBorders>
            <w:hideMark/>
          </w:tcPr>
          <w:p w14:paraId="3B4435E9" w14:textId="77777777" w:rsidR="00510F78" w:rsidRPr="00E6041E" w:rsidRDefault="00510F78">
            <w:pPr>
              <w:spacing w:before="20" w:after="20"/>
              <w:rPr>
                <w:rFonts w:cstheme="minorHAnsi"/>
                <w:sz w:val="19"/>
                <w:szCs w:val="19"/>
              </w:rPr>
            </w:pPr>
          </w:p>
        </w:tc>
        <w:tc>
          <w:tcPr>
            <w:tcW w:w="992" w:type="dxa"/>
            <w:tcBorders>
              <w:top w:val="single" w:sz="4" w:space="0" w:color="auto"/>
              <w:bottom w:val="single" w:sz="4" w:space="0" w:color="auto"/>
            </w:tcBorders>
            <w:noWrap/>
            <w:hideMark/>
          </w:tcPr>
          <w:p w14:paraId="42D5087B" w14:textId="77777777" w:rsidR="00510F78" w:rsidRPr="00E6041E" w:rsidRDefault="00510F78">
            <w:pPr>
              <w:spacing w:before="20" w:after="20"/>
              <w:rPr>
                <w:rFonts w:cstheme="minorHAnsi"/>
                <w:sz w:val="19"/>
                <w:szCs w:val="19"/>
              </w:rPr>
            </w:pPr>
            <w:r w:rsidRPr="00E6041E">
              <w:rPr>
                <w:rFonts w:cstheme="minorHAnsi"/>
                <w:sz w:val="19"/>
                <w:szCs w:val="19"/>
              </w:rPr>
              <w:t>Income</w:t>
            </w:r>
          </w:p>
        </w:tc>
        <w:tc>
          <w:tcPr>
            <w:tcW w:w="1162" w:type="dxa"/>
            <w:tcBorders>
              <w:top w:val="single" w:sz="4" w:space="0" w:color="auto"/>
              <w:bottom w:val="single" w:sz="4" w:space="0" w:color="auto"/>
            </w:tcBorders>
            <w:noWrap/>
          </w:tcPr>
          <w:p w14:paraId="01B3328D" w14:textId="77777777" w:rsidR="00510F78" w:rsidRPr="00E6041E" w:rsidRDefault="00510F78">
            <w:pPr>
              <w:spacing w:before="20" w:after="20"/>
              <w:jc w:val="right"/>
              <w:rPr>
                <w:rFonts w:cstheme="minorHAnsi"/>
                <w:sz w:val="19"/>
                <w:szCs w:val="19"/>
              </w:rPr>
            </w:pPr>
            <w:r w:rsidRPr="00E6041E">
              <w:rPr>
                <w:rFonts w:cstheme="minorHAnsi"/>
                <w:sz w:val="19"/>
                <w:szCs w:val="19"/>
              </w:rPr>
              <w:t>(13,665)</w:t>
            </w:r>
          </w:p>
        </w:tc>
        <w:tc>
          <w:tcPr>
            <w:tcW w:w="1162" w:type="dxa"/>
            <w:tcBorders>
              <w:top w:val="single" w:sz="4" w:space="0" w:color="auto"/>
              <w:bottom w:val="single" w:sz="4" w:space="0" w:color="auto"/>
            </w:tcBorders>
            <w:noWrap/>
          </w:tcPr>
          <w:p w14:paraId="52A6F2DC" w14:textId="77777777" w:rsidR="00510F78" w:rsidRPr="00E6041E" w:rsidRDefault="00510F78">
            <w:pPr>
              <w:spacing w:before="20" w:after="20"/>
              <w:jc w:val="right"/>
              <w:rPr>
                <w:rFonts w:cstheme="minorHAnsi"/>
                <w:sz w:val="19"/>
                <w:szCs w:val="19"/>
              </w:rPr>
            </w:pPr>
            <w:r w:rsidRPr="00E6041E">
              <w:rPr>
                <w:rFonts w:cstheme="minorHAnsi"/>
                <w:sz w:val="19"/>
                <w:szCs w:val="19"/>
              </w:rPr>
              <w:t>(13,938)</w:t>
            </w:r>
          </w:p>
        </w:tc>
        <w:tc>
          <w:tcPr>
            <w:tcW w:w="1163" w:type="dxa"/>
            <w:tcBorders>
              <w:top w:val="single" w:sz="4" w:space="0" w:color="auto"/>
              <w:bottom w:val="single" w:sz="4" w:space="0" w:color="auto"/>
            </w:tcBorders>
            <w:noWrap/>
          </w:tcPr>
          <w:p w14:paraId="69BFBF22" w14:textId="77777777" w:rsidR="00510F78" w:rsidRPr="00E6041E" w:rsidRDefault="00510F78">
            <w:pPr>
              <w:spacing w:before="20" w:after="20"/>
              <w:jc w:val="right"/>
              <w:rPr>
                <w:rFonts w:cstheme="minorHAnsi"/>
                <w:sz w:val="19"/>
                <w:szCs w:val="19"/>
              </w:rPr>
            </w:pPr>
            <w:r w:rsidRPr="00E6041E">
              <w:rPr>
                <w:rFonts w:cstheme="minorHAnsi"/>
                <w:sz w:val="19"/>
                <w:szCs w:val="19"/>
              </w:rPr>
              <w:t>(14,245)</w:t>
            </w:r>
          </w:p>
        </w:tc>
        <w:tc>
          <w:tcPr>
            <w:tcW w:w="1162" w:type="dxa"/>
            <w:tcBorders>
              <w:top w:val="single" w:sz="4" w:space="0" w:color="auto"/>
              <w:bottom w:val="single" w:sz="4" w:space="0" w:color="auto"/>
            </w:tcBorders>
            <w:noWrap/>
          </w:tcPr>
          <w:p w14:paraId="7C146AB1" w14:textId="77777777" w:rsidR="00510F78" w:rsidRPr="00E6041E" w:rsidRDefault="00510F78">
            <w:pPr>
              <w:spacing w:before="20" w:after="20"/>
              <w:jc w:val="right"/>
              <w:rPr>
                <w:rFonts w:cstheme="minorHAnsi"/>
                <w:sz w:val="19"/>
                <w:szCs w:val="19"/>
              </w:rPr>
            </w:pPr>
            <w:r w:rsidRPr="00E6041E">
              <w:rPr>
                <w:rFonts w:cstheme="minorHAnsi"/>
                <w:sz w:val="19"/>
                <w:szCs w:val="19"/>
              </w:rPr>
              <w:t>(14,558)</w:t>
            </w:r>
          </w:p>
        </w:tc>
        <w:tc>
          <w:tcPr>
            <w:tcW w:w="1163" w:type="dxa"/>
            <w:tcBorders>
              <w:top w:val="single" w:sz="4" w:space="0" w:color="auto"/>
              <w:bottom w:val="single" w:sz="4" w:space="0" w:color="auto"/>
            </w:tcBorders>
            <w:noWrap/>
          </w:tcPr>
          <w:p w14:paraId="364E055B" w14:textId="77777777" w:rsidR="00510F78" w:rsidRPr="00E6041E" w:rsidRDefault="00510F78">
            <w:pPr>
              <w:spacing w:before="20" w:after="20"/>
              <w:jc w:val="right"/>
              <w:rPr>
                <w:rFonts w:cstheme="minorHAnsi"/>
                <w:sz w:val="19"/>
                <w:szCs w:val="19"/>
              </w:rPr>
            </w:pPr>
            <w:r w:rsidRPr="00E6041E">
              <w:rPr>
                <w:rFonts w:cstheme="minorHAnsi"/>
                <w:sz w:val="19"/>
                <w:szCs w:val="19"/>
              </w:rPr>
              <w:t>(14,864)</w:t>
            </w:r>
          </w:p>
        </w:tc>
        <w:tc>
          <w:tcPr>
            <w:tcW w:w="1162" w:type="dxa"/>
            <w:tcBorders>
              <w:top w:val="single" w:sz="4" w:space="0" w:color="auto"/>
              <w:bottom w:val="single" w:sz="4" w:space="0" w:color="auto"/>
            </w:tcBorders>
            <w:noWrap/>
          </w:tcPr>
          <w:p w14:paraId="6A30540A" w14:textId="77777777" w:rsidR="00510F78" w:rsidRPr="00E6041E" w:rsidRDefault="00510F78">
            <w:pPr>
              <w:spacing w:before="20" w:after="20"/>
              <w:jc w:val="right"/>
              <w:rPr>
                <w:rFonts w:cstheme="minorHAnsi"/>
                <w:sz w:val="19"/>
                <w:szCs w:val="19"/>
              </w:rPr>
            </w:pPr>
            <w:r w:rsidRPr="00E6041E">
              <w:rPr>
                <w:rFonts w:cstheme="minorHAnsi"/>
                <w:sz w:val="19"/>
                <w:szCs w:val="19"/>
              </w:rPr>
              <w:t>(15,161)</w:t>
            </w:r>
          </w:p>
        </w:tc>
        <w:tc>
          <w:tcPr>
            <w:tcW w:w="1162" w:type="dxa"/>
            <w:tcBorders>
              <w:top w:val="single" w:sz="4" w:space="0" w:color="auto"/>
              <w:bottom w:val="single" w:sz="4" w:space="0" w:color="auto"/>
            </w:tcBorders>
            <w:noWrap/>
          </w:tcPr>
          <w:p w14:paraId="5B14F79F" w14:textId="77777777" w:rsidR="00510F78" w:rsidRPr="00E6041E" w:rsidRDefault="00510F78">
            <w:pPr>
              <w:spacing w:before="20" w:after="20"/>
              <w:jc w:val="right"/>
              <w:rPr>
                <w:rFonts w:cstheme="minorHAnsi"/>
                <w:sz w:val="19"/>
                <w:szCs w:val="19"/>
              </w:rPr>
            </w:pPr>
            <w:r w:rsidRPr="00E6041E">
              <w:rPr>
                <w:rFonts w:cstheme="minorHAnsi"/>
                <w:sz w:val="19"/>
                <w:szCs w:val="19"/>
              </w:rPr>
              <w:t>(15,449)</w:t>
            </w:r>
          </w:p>
        </w:tc>
        <w:tc>
          <w:tcPr>
            <w:tcW w:w="1163" w:type="dxa"/>
            <w:tcBorders>
              <w:top w:val="single" w:sz="4" w:space="0" w:color="auto"/>
              <w:bottom w:val="single" w:sz="4" w:space="0" w:color="auto"/>
            </w:tcBorders>
            <w:noWrap/>
          </w:tcPr>
          <w:p w14:paraId="4E6C6F7E" w14:textId="77777777" w:rsidR="00510F78" w:rsidRPr="00E6041E" w:rsidRDefault="00510F78">
            <w:pPr>
              <w:spacing w:before="20" w:after="20"/>
              <w:jc w:val="right"/>
              <w:rPr>
                <w:rFonts w:cstheme="minorHAnsi"/>
                <w:sz w:val="19"/>
                <w:szCs w:val="19"/>
              </w:rPr>
            </w:pPr>
            <w:r w:rsidRPr="00E6041E">
              <w:rPr>
                <w:rFonts w:cstheme="minorHAnsi"/>
                <w:sz w:val="19"/>
                <w:szCs w:val="19"/>
              </w:rPr>
              <w:t>(15,742)</w:t>
            </w:r>
          </w:p>
        </w:tc>
        <w:tc>
          <w:tcPr>
            <w:tcW w:w="1162" w:type="dxa"/>
            <w:tcBorders>
              <w:top w:val="single" w:sz="4" w:space="0" w:color="auto"/>
              <w:bottom w:val="single" w:sz="4" w:space="0" w:color="auto"/>
            </w:tcBorders>
            <w:noWrap/>
          </w:tcPr>
          <w:p w14:paraId="30FE21B8" w14:textId="77777777" w:rsidR="00510F78" w:rsidRPr="00E6041E" w:rsidRDefault="00510F78">
            <w:pPr>
              <w:spacing w:before="20" w:after="20"/>
              <w:jc w:val="right"/>
              <w:rPr>
                <w:rFonts w:cstheme="minorHAnsi"/>
                <w:sz w:val="19"/>
                <w:szCs w:val="19"/>
              </w:rPr>
            </w:pPr>
            <w:r w:rsidRPr="00E6041E">
              <w:rPr>
                <w:rFonts w:cstheme="minorHAnsi"/>
                <w:sz w:val="19"/>
                <w:szCs w:val="19"/>
              </w:rPr>
              <w:t>(16,041)</w:t>
            </w:r>
          </w:p>
        </w:tc>
        <w:tc>
          <w:tcPr>
            <w:tcW w:w="1163" w:type="dxa"/>
            <w:tcBorders>
              <w:top w:val="single" w:sz="4" w:space="0" w:color="auto"/>
              <w:bottom w:val="single" w:sz="4" w:space="0" w:color="auto"/>
            </w:tcBorders>
            <w:noWrap/>
          </w:tcPr>
          <w:p w14:paraId="20606DBB" w14:textId="77777777" w:rsidR="00510F78" w:rsidRPr="00E6041E" w:rsidRDefault="00510F78">
            <w:pPr>
              <w:spacing w:before="20" w:after="20"/>
              <w:jc w:val="right"/>
              <w:rPr>
                <w:rFonts w:cstheme="minorHAnsi"/>
                <w:sz w:val="19"/>
                <w:szCs w:val="19"/>
              </w:rPr>
            </w:pPr>
            <w:r w:rsidRPr="00E6041E">
              <w:rPr>
                <w:rFonts w:cstheme="minorHAnsi"/>
                <w:sz w:val="19"/>
                <w:szCs w:val="19"/>
              </w:rPr>
              <w:t>(16,330)</w:t>
            </w:r>
          </w:p>
        </w:tc>
      </w:tr>
      <w:tr w:rsidR="00510F78" w:rsidRPr="00E6041E" w14:paraId="30A168C4" w14:textId="77777777" w:rsidTr="006C09AF">
        <w:trPr>
          <w:trHeight w:val="300"/>
        </w:trPr>
        <w:tc>
          <w:tcPr>
            <w:tcW w:w="1843" w:type="dxa"/>
            <w:vMerge w:val="restart"/>
            <w:tcBorders>
              <w:top w:val="single" w:sz="4" w:space="0" w:color="auto"/>
              <w:bottom w:val="single" w:sz="4" w:space="0" w:color="auto"/>
            </w:tcBorders>
            <w:shd w:val="clear" w:color="auto" w:fill="E5E6E8" w:themeFill="accent2" w:themeFillTint="33"/>
            <w:noWrap/>
            <w:hideMark/>
          </w:tcPr>
          <w:p w14:paraId="76F9105E" w14:textId="77777777" w:rsidR="00510F78" w:rsidRPr="00E6041E" w:rsidRDefault="00510F78">
            <w:pPr>
              <w:spacing w:before="20" w:after="20"/>
              <w:rPr>
                <w:rFonts w:cstheme="minorHAnsi"/>
                <w:sz w:val="19"/>
                <w:szCs w:val="19"/>
              </w:rPr>
            </w:pPr>
            <w:r w:rsidRPr="00E6041E">
              <w:rPr>
                <w:rFonts w:cstheme="minorHAnsi"/>
                <w:sz w:val="19"/>
                <w:szCs w:val="19"/>
              </w:rPr>
              <w:t>3.1.2 Tākina Wellington Convention &amp; Exhibition Centre</w:t>
            </w:r>
          </w:p>
        </w:tc>
        <w:tc>
          <w:tcPr>
            <w:tcW w:w="992" w:type="dxa"/>
            <w:tcBorders>
              <w:top w:val="single" w:sz="4" w:space="0" w:color="auto"/>
              <w:bottom w:val="single" w:sz="4" w:space="0" w:color="auto"/>
            </w:tcBorders>
            <w:noWrap/>
            <w:hideMark/>
          </w:tcPr>
          <w:p w14:paraId="4BF5EEF8" w14:textId="77777777" w:rsidR="00510F78" w:rsidRPr="00E6041E" w:rsidRDefault="00510F78">
            <w:pPr>
              <w:spacing w:before="20" w:after="20"/>
              <w:rPr>
                <w:rFonts w:cstheme="minorHAnsi"/>
                <w:sz w:val="19"/>
                <w:szCs w:val="19"/>
              </w:rPr>
            </w:pPr>
            <w:r w:rsidRPr="00E6041E">
              <w:rPr>
                <w:rFonts w:cstheme="minorHAnsi"/>
                <w:sz w:val="19"/>
                <w:szCs w:val="19"/>
              </w:rPr>
              <w:t>Expense</w:t>
            </w:r>
          </w:p>
        </w:tc>
        <w:tc>
          <w:tcPr>
            <w:tcW w:w="1162" w:type="dxa"/>
            <w:tcBorders>
              <w:top w:val="single" w:sz="4" w:space="0" w:color="auto"/>
              <w:bottom w:val="single" w:sz="4" w:space="0" w:color="auto"/>
            </w:tcBorders>
            <w:noWrap/>
          </w:tcPr>
          <w:p w14:paraId="34DD6DA5" w14:textId="77777777" w:rsidR="00510F78" w:rsidRPr="00E6041E" w:rsidRDefault="00510F78">
            <w:pPr>
              <w:spacing w:before="20" w:after="20"/>
              <w:jc w:val="right"/>
              <w:rPr>
                <w:rFonts w:cstheme="minorHAnsi"/>
                <w:sz w:val="19"/>
                <w:szCs w:val="19"/>
              </w:rPr>
            </w:pPr>
            <w:r w:rsidRPr="00E6041E">
              <w:rPr>
                <w:rFonts w:cstheme="minorHAnsi"/>
                <w:sz w:val="19"/>
                <w:szCs w:val="19"/>
              </w:rPr>
              <w:t>20,135</w:t>
            </w:r>
          </w:p>
        </w:tc>
        <w:tc>
          <w:tcPr>
            <w:tcW w:w="1162" w:type="dxa"/>
            <w:tcBorders>
              <w:top w:val="single" w:sz="4" w:space="0" w:color="auto"/>
              <w:bottom w:val="single" w:sz="4" w:space="0" w:color="auto"/>
            </w:tcBorders>
            <w:noWrap/>
          </w:tcPr>
          <w:p w14:paraId="2DC42CB5" w14:textId="77777777" w:rsidR="00510F78" w:rsidRPr="00E6041E" w:rsidRDefault="00510F78">
            <w:pPr>
              <w:spacing w:before="20" w:after="20"/>
              <w:jc w:val="right"/>
              <w:rPr>
                <w:rFonts w:cstheme="minorHAnsi"/>
                <w:sz w:val="19"/>
                <w:szCs w:val="19"/>
              </w:rPr>
            </w:pPr>
            <w:r w:rsidRPr="00E6041E">
              <w:rPr>
                <w:rFonts w:cstheme="minorHAnsi"/>
                <w:sz w:val="19"/>
                <w:szCs w:val="19"/>
              </w:rPr>
              <w:t>17,265</w:t>
            </w:r>
          </w:p>
        </w:tc>
        <w:tc>
          <w:tcPr>
            <w:tcW w:w="1163" w:type="dxa"/>
            <w:tcBorders>
              <w:top w:val="single" w:sz="4" w:space="0" w:color="auto"/>
              <w:bottom w:val="single" w:sz="4" w:space="0" w:color="auto"/>
            </w:tcBorders>
            <w:noWrap/>
          </w:tcPr>
          <w:p w14:paraId="59F3E675" w14:textId="77777777" w:rsidR="00510F78" w:rsidRPr="00E6041E" w:rsidRDefault="00510F78">
            <w:pPr>
              <w:spacing w:before="20" w:after="20"/>
              <w:jc w:val="right"/>
              <w:rPr>
                <w:rFonts w:cstheme="minorHAnsi"/>
                <w:sz w:val="19"/>
                <w:szCs w:val="19"/>
              </w:rPr>
            </w:pPr>
            <w:r w:rsidRPr="00E6041E">
              <w:rPr>
                <w:rFonts w:cstheme="minorHAnsi"/>
                <w:sz w:val="19"/>
                <w:szCs w:val="19"/>
              </w:rPr>
              <w:t>17,937</w:t>
            </w:r>
          </w:p>
        </w:tc>
        <w:tc>
          <w:tcPr>
            <w:tcW w:w="1162" w:type="dxa"/>
            <w:tcBorders>
              <w:top w:val="single" w:sz="4" w:space="0" w:color="auto"/>
              <w:bottom w:val="single" w:sz="4" w:space="0" w:color="auto"/>
            </w:tcBorders>
            <w:noWrap/>
          </w:tcPr>
          <w:p w14:paraId="7CDCF403" w14:textId="77777777" w:rsidR="00510F78" w:rsidRPr="00E6041E" w:rsidRDefault="00510F78">
            <w:pPr>
              <w:spacing w:before="20" w:after="20"/>
              <w:jc w:val="right"/>
              <w:rPr>
                <w:rFonts w:cstheme="minorHAnsi"/>
                <w:sz w:val="19"/>
                <w:szCs w:val="19"/>
              </w:rPr>
            </w:pPr>
            <w:r w:rsidRPr="00E6041E">
              <w:rPr>
                <w:rFonts w:cstheme="minorHAnsi"/>
                <w:sz w:val="19"/>
                <w:szCs w:val="19"/>
              </w:rPr>
              <w:t>18,557</w:t>
            </w:r>
          </w:p>
        </w:tc>
        <w:tc>
          <w:tcPr>
            <w:tcW w:w="1163" w:type="dxa"/>
            <w:tcBorders>
              <w:top w:val="single" w:sz="4" w:space="0" w:color="auto"/>
              <w:bottom w:val="single" w:sz="4" w:space="0" w:color="auto"/>
            </w:tcBorders>
            <w:noWrap/>
          </w:tcPr>
          <w:p w14:paraId="438A0B4E" w14:textId="77777777" w:rsidR="00510F78" w:rsidRPr="00E6041E" w:rsidRDefault="00510F78">
            <w:pPr>
              <w:spacing w:before="20" w:after="20"/>
              <w:jc w:val="right"/>
              <w:rPr>
                <w:rFonts w:cstheme="minorHAnsi"/>
                <w:sz w:val="19"/>
                <w:szCs w:val="19"/>
              </w:rPr>
            </w:pPr>
            <w:r w:rsidRPr="00E6041E">
              <w:rPr>
                <w:rFonts w:cstheme="minorHAnsi"/>
                <w:sz w:val="19"/>
                <w:szCs w:val="19"/>
              </w:rPr>
              <w:t>18,987</w:t>
            </w:r>
          </w:p>
        </w:tc>
        <w:tc>
          <w:tcPr>
            <w:tcW w:w="1162" w:type="dxa"/>
            <w:tcBorders>
              <w:top w:val="single" w:sz="4" w:space="0" w:color="auto"/>
              <w:bottom w:val="single" w:sz="4" w:space="0" w:color="auto"/>
            </w:tcBorders>
            <w:noWrap/>
          </w:tcPr>
          <w:p w14:paraId="21E07EB0" w14:textId="77777777" w:rsidR="00510F78" w:rsidRPr="00E6041E" w:rsidRDefault="00510F78">
            <w:pPr>
              <w:spacing w:before="20" w:after="20"/>
              <w:jc w:val="right"/>
              <w:rPr>
                <w:rFonts w:cstheme="minorHAnsi"/>
                <w:sz w:val="19"/>
                <w:szCs w:val="19"/>
              </w:rPr>
            </w:pPr>
            <w:r w:rsidRPr="00E6041E">
              <w:rPr>
                <w:rFonts w:cstheme="minorHAnsi"/>
                <w:sz w:val="19"/>
                <w:szCs w:val="19"/>
              </w:rPr>
              <w:t>19,497</w:t>
            </w:r>
          </w:p>
        </w:tc>
        <w:tc>
          <w:tcPr>
            <w:tcW w:w="1162" w:type="dxa"/>
            <w:tcBorders>
              <w:top w:val="single" w:sz="4" w:space="0" w:color="auto"/>
              <w:bottom w:val="single" w:sz="4" w:space="0" w:color="auto"/>
            </w:tcBorders>
            <w:noWrap/>
          </w:tcPr>
          <w:p w14:paraId="3C68E720" w14:textId="77777777" w:rsidR="00510F78" w:rsidRPr="00E6041E" w:rsidRDefault="00510F78">
            <w:pPr>
              <w:spacing w:before="20" w:after="20"/>
              <w:jc w:val="right"/>
              <w:rPr>
                <w:rFonts w:cstheme="minorHAnsi"/>
                <w:sz w:val="19"/>
                <w:szCs w:val="19"/>
              </w:rPr>
            </w:pPr>
            <w:r w:rsidRPr="00E6041E">
              <w:rPr>
                <w:rFonts w:cstheme="minorHAnsi"/>
                <w:sz w:val="19"/>
                <w:szCs w:val="19"/>
              </w:rPr>
              <w:t>20,174</w:t>
            </w:r>
          </w:p>
        </w:tc>
        <w:tc>
          <w:tcPr>
            <w:tcW w:w="1163" w:type="dxa"/>
            <w:tcBorders>
              <w:top w:val="single" w:sz="4" w:space="0" w:color="auto"/>
              <w:bottom w:val="single" w:sz="4" w:space="0" w:color="auto"/>
            </w:tcBorders>
            <w:noWrap/>
          </w:tcPr>
          <w:p w14:paraId="1F779184" w14:textId="77777777" w:rsidR="00510F78" w:rsidRPr="00E6041E" w:rsidRDefault="00510F78">
            <w:pPr>
              <w:spacing w:before="20" w:after="20"/>
              <w:jc w:val="right"/>
              <w:rPr>
                <w:rFonts w:cstheme="minorHAnsi"/>
                <w:sz w:val="19"/>
                <w:szCs w:val="19"/>
              </w:rPr>
            </w:pPr>
            <w:r w:rsidRPr="00E6041E">
              <w:rPr>
                <w:rFonts w:cstheme="minorHAnsi"/>
                <w:sz w:val="19"/>
                <w:szCs w:val="19"/>
              </w:rPr>
              <w:t>20,667</w:t>
            </w:r>
          </w:p>
        </w:tc>
        <w:tc>
          <w:tcPr>
            <w:tcW w:w="1162" w:type="dxa"/>
            <w:tcBorders>
              <w:top w:val="single" w:sz="4" w:space="0" w:color="auto"/>
              <w:bottom w:val="single" w:sz="4" w:space="0" w:color="auto"/>
            </w:tcBorders>
            <w:noWrap/>
          </w:tcPr>
          <w:p w14:paraId="49163517" w14:textId="77777777" w:rsidR="00510F78" w:rsidRPr="00E6041E" w:rsidRDefault="00510F78">
            <w:pPr>
              <w:spacing w:before="20" w:after="20"/>
              <w:jc w:val="right"/>
              <w:rPr>
                <w:rFonts w:cstheme="minorHAnsi"/>
                <w:sz w:val="19"/>
                <w:szCs w:val="19"/>
              </w:rPr>
            </w:pPr>
            <w:r w:rsidRPr="00E6041E">
              <w:rPr>
                <w:rFonts w:cstheme="minorHAnsi"/>
                <w:sz w:val="19"/>
                <w:szCs w:val="19"/>
              </w:rPr>
              <w:t>21,398</w:t>
            </w:r>
          </w:p>
        </w:tc>
        <w:tc>
          <w:tcPr>
            <w:tcW w:w="1163" w:type="dxa"/>
            <w:tcBorders>
              <w:top w:val="single" w:sz="4" w:space="0" w:color="auto"/>
              <w:bottom w:val="single" w:sz="4" w:space="0" w:color="auto"/>
            </w:tcBorders>
            <w:noWrap/>
          </w:tcPr>
          <w:p w14:paraId="73FF9FC6" w14:textId="77777777" w:rsidR="00510F78" w:rsidRPr="00E6041E" w:rsidRDefault="00510F78">
            <w:pPr>
              <w:spacing w:before="20" w:after="20"/>
              <w:jc w:val="right"/>
              <w:rPr>
                <w:rFonts w:cstheme="minorHAnsi"/>
                <w:sz w:val="19"/>
                <w:szCs w:val="19"/>
              </w:rPr>
            </w:pPr>
            <w:r w:rsidRPr="00E6041E">
              <w:rPr>
                <w:rFonts w:cstheme="minorHAnsi"/>
                <w:sz w:val="19"/>
                <w:szCs w:val="19"/>
              </w:rPr>
              <w:t>21,988</w:t>
            </w:r>
          </w:p>
        </w:tc>
      </w:tr>
      <w:tr w:rsidR="00510F78" w:rsidRPr="00E6041E" w14:paraId="01D66889" w14:textId="77777777" w:rsidTr="006C09AF">
        <w:trPr>
          <w:trHeight w:val="300"/>
        </w:trPr>
        <w:tc>
          <w:tcPr>
            <w:tcW w:w="1843" w:type="dxa"/>
            <w:vMerge/>
            <w:tcBorders>
              <w:top w:val="single" w:sz="4" w:space="0" w:color="auto"/>
              <w:bottom w:val="single" w:sz="4" w:space="0" w:color="auto"/>
            </w:tcBorders>
            <w:hideMark/>
          </w:tcPr>
          <w:p w14:paraId="3B3CE82B" w14:textId="77777777" w:rsidR="00510F78" w:rsidRPr="00E6041E" w:rsidRDefault="00510F78">
            <w:pPr>
              <w:spacing w:before="20" w:after="20"/>
              <w:rPr>
                <w:rFonts w:cstheme="minorHAnsi"/>
                <w:sz w:val="19"/>
                <w:szCs w:val="19"/>
              </w:rPr>
            </w:pPr>
          </w:p>
        </w:tc>
        <w:tc>
          <w:tcPr>
            <w:tcW w:w="992" w:type="dxa"/>
            <w:tcBorders>
              <w:top w:val="single" w:sz="4" w:space="0" w:color="auto"/>
              <w:bottom w:val="single" w:sz="4" w:space="0" w:color="auto"/>
            </w:tcBorders>
            <w:noWrap/>
            <w:hideMark/>
          </w:tcPr>
          <w:p w14:paraId="2AA37F9B" w14:textId="77777777" w:rsidR="00510F78" w:rsidRPr="00E6041E" w:rsidRDefault="00510F78">
            <w:pPr>
              <w:spacing w:before="20" w:after="20"/>
              <w:rPr>
                <w:rFonts w:cstheme="minorHAnsi"/>
                <w:sz w:val="19"/>
                <w:szCs w:val="19"/>
              </w:rPr>
            </w:pPr>
            <w:r w:rsidRPr="00E6041E">
              <w:rPr>
                <w:rFonts w:cstheme="minorHAnsi"/>
                <w:sz w:val="19"/>
                <w:szCs w:val="19"/>
              </w:rPr>
              <w:t>Income</w:t>
            </w:r>
          </w:p>
        </w:tc>
        <w:tc>
          <w:tcPr>
            <w:tcW w:w="1162" w:type="dxa"/>
            <w:tcBorders>
              <w:top w:val="single" w:sz="4" w:space="0" w:color="auto"/>
              <w:bottom w:val="single" w:sz="4" w:space="0" w:color="auto"/>
            </w:tcBorders>
            <w:noWrap/>
          </w:tcPr>
          <w:p w14:paraId="5D6329CF" w14:textId="77777777" w:rsidR="00510F78" w:rsidRPr="00E6041E" w:rsidRDefault="00510F78">
            <w:pPr>
              <w:spacing w:before="20" w:after="20"/>
              <w:jc w:val="right"/>
              <w:rPr>
                <w:rFonts w:cstheme="minorHAnsi"/>
                <w:sz w:val="19"/>
                <w:szCs w:val="19"/>
              </w:rPr>
            </w:pPr>
            <w:r w:rsidRPr="00E6041E">
              <w:rPr>
                <w:rFonts w:cstheme="minorHAnsi"/>
                <w:sz w:val="19"/>
                <w:szCs w:val="19"/>
              </w:rPr>
              <w:t>(7,939)</w:t>
            </w:r>
          </w:p>
        </w:tc>
        <w:tc>
          <w:tcPr>
            <w:tcW w:w="1162" w:type="dxa"/>
            <w:tcBorders>
              <w:top w:val="single" w:sz="4" w:space="0" w:color="auto"/>
              <w:bottom w:val="single" w:sz="4" w:space="0" w:color="auto"/>
            </w:tcBorders>
            <w:noWrap/>
          </w:tcPr>
          <w:p w14:paraId="4047D57F" w14:textId="77777777" w:rsidR="00510F78" w:rsidRPr="00E6041E" w:rsidRDefault="00510F78">
            <w:pPr>
              <w:spacing w:before="20" w:after="20"/>
              <w:jc w:val="right"/>
              <w:rPr>
                <w:rFonts w:cstheme="minorHAnsi"/>
                <w:sz w:val="19"/>
                <w:szCs w:val="19"/>
              </w:rPr>
            </w:pPr>
            <w:r w:rsidRPr="00E6041E">
              <w:rPr>
                <w:rFonts w:cstheme="minorHAnsi"/>
                <w:sz w:val="19"/>
                <w:szCs w:val="19"/>
              </w:rPr>
              <w:t>(3,482)</w:t>
            </w:r>
          </w:p>
        </w:tc>
        <w:tc>
          <w:tcPr>
            <w:tcW w:w="1163" w:type="dxa"/>
            <w:tcBorders>
              <w:top w:val="single" w:sz="4" w:space="0" w:color="auto"/>
              <w:bottom w:val="single" w:sz="4" w:space="0" w:color="auto"/>
            </w:tcBorders>
            <w:noWrap/>
          </w:tcPr>
          <w:p w14:paraId="1ED6472D" w14:textId="77777777" w:rsidR="00510F78" w:rsidRPr="00E6041E" w:rsidRDefault="00510F78">
            <w:pPr>
              <w:spacing w:before="20" w:after="20"/>
              <w:jc w:val="right"/>
              <w:rPr>
                <w:rFonts w:cstheme="minorHAnsi"/>
                <w:sz w:val="19"/>
                <w:szCs w:val="19"/>
              </w:rPr>
            </w:pPr>
            <w:r w:rsidRPr="00E6041E">
              <w:rPr>
                <w:rFonts w:cstheme="minorHAnsi"/>
                <w:sz w:val="19"/>
                <w:szCs w:val="19"/>
              </w:rPr>
              <w:t>(3,648)</w:t>
            </w:r>
          </w:p>
        </w:tc>
        <w:tc>
          <w:tcPr>
            <w:tcW w:w="1162" w:type="dxa"/>
            <w:tcBorders>
              <w:top w:val="single" w:sz="4" w:space="0" w:color="auto"/>
              <w:bottom w:val="single" w:sz="4" w:space="0" w:color="auto"/>
            </w:tcBorders>
            <w:noWrap/>
          </w:tcPr>
          <w:p w14:paraId="1D753B41" w14:textId="77777777" w:rsidR="00510F78" w:rsidRPr="00E6041E" w:rsidRDefault="00510F78">
            <w:pPr>
              <w:spacing w:before="20" w:after="20"/>
              <w:jc w:val="right"/>
              <w:rPr>
                <w:rFonts w:cstheme="minorHAnsi"/>
                <w:sz w:val="19"/>
                <w:szCs w:val="19"/>
              </w:rPr>
            </w:pPr>
            <w:r w:rsidRPr="00E6041E">
              <w:rPr>
                <w:rFonts w:cstheme="minorHAnsi"/>
                <w:sz w:val="19"/>
                <w:szCs w:val="19"/>
              </w:rPr>
              <w:t>(3,808)</w:t>
            </w:r>
          </w:p>
        </w:tc>
        <w:tc>
          <w:tcPr>
            <w:tcW w:w="1163" w:type="dxa"/>
            <w:tcBorders>
              <w:top w:val="single" w:sz="4" w:space="0" w:color="auto"/>
              <w:bottom w:val="single" w:sz="4" w:space="0" w:color="auto"/>
            </w:tcBorders>
            <w:noWrap/>
          </w:tcPr>
          <w:p w14:paraId="356EDF0A" w14:textId="77777777" w:rsidR="00510F78" w:rsidRPr="00E6041E" w:rsidRDefault="00510F78">
            <w:pPr>
              <w:spacing w:before="20" w:after="20"/>
              <w:jc w:val="right"/>
              <w:rPr>
                <w:rFonts w:cstheme="minorHAnsi"/>
                <w:sz w:val="19"/>
                <w:szCs w:val="19"/>
              </w:rPr>
            </w:pPr>
            <w:r w:rsidRPr="00E6041E">
              <w:rPr>
                <w:rFonts w:cstheme="minorHAnsi"/>
                <w:sz w:val="19"/>
                <w:szCs w:val="19"/>
              </w:rPr>
              <w:t>(3,976)</w:t>
            </w:r>
          </w:p>
        </w:tc>
        <w:tc>
          <w:tcPr>
            <w:tcW w:w="1162" w:type="dxa"/>
            <w:tcBorders>
              <w:top w:val="single" w:sz="4" w:space="0" w:color="auto"/>
              <w:bottom w:val="single" w:sz="4" w:space="0" w:color="auto"/>
            </w:tcBorders>
            <w:noWrap/>
          </w:tcPr>
          <w:p w14:paraId="796F65D6" w14:textId="77777777" w:rsidR="00510F78" w:rsidRPr="00E6041E" w:rsidRDefault="00510F78">
            <w:pPr>
              <w:spacing w:before="20" w:after="20"/>
              <w:jc w:val="right"/>
              <w:rPr>
                <w:rFonts w:cstheme="minorHAnsi"/>
                <w:sz w:val="19"/>
                <w:szCs w:val="19"/>
              </w:rPr>
            </w:pPr>
            <w:r w:rsidRPr="00E6041E">
              <w:rPr>
                <w:rFonts w:cstheme="minorHAnsi"/>
                <w:sz w:val="19"/>
                <w:szCs w:val="19"/>
              </w:rPr>
              <w:t>(4,136)</w:t>
            </w:r>
          </w:p>
        </w:tc>
        <w:tc>
          <w:tcPr>
            <w:tcW w:w="1162" w:type="dxa"/>
            <w:tcBorders>
              <w:top w:val="single" w:sz="4" w:space="0" w:color="auto"/>
              <w:bottom w:val="single" w:sz="4" w:space="0" w:color="auto"/>
            </w:tcBorders>
            <w:noWrap/>
          </w:tcPr>
          <w:p w14:paraId="41A2AF77" w14:textId="77777777" w:rsidR="00510F78" w:rsidRPr="00E6041E" w:rsidRDefault="00510F78">
            <w:pPr>
              <w:spacing w:before="20" w:after="20"/>
              <w:jc w:val="right"/>
              <w:rPr>
                <w:rFonts w:cstheme="minorHAnsi"/>
                <w:sz w:val="19"/>
                <w:szCs w:val="19"/>
              </w:rPr>
            </w:pPr>
            <w:r w:rsidRPr="00E6041E">
              <w:rPr>
                <w:rFonts w:cstheme="minorHAnsi"/>
                <w:sz w:val="19"/>
                <w:szCs w:val="19"/>
              </w:rPr>
              <w:t>(4,313)</w:t>
            </w:r>
          </w:p>
        </w:tc>
        <w:tc>
          <w:tcPr>
            <w:tcW w:w="1163" w:type="dxa"/>
            <w:tcBorders>
              <w:top w:val="single" w:sz="4" w:space="0" w:color="auto"/>
              <w:bottom w:val="single" w:sz="4" w:space="0" w:color="auto"/>
            </w:tcBorders>
            <w:noWrap/>
          </w:tcPr>
          <w:p w14:paraId="1932314A" w14:textId="77777777" w:rsidR="00510F78" w:rsidRPr="00E6041E" w:rsidRDefault="00510F78">
            <w:pPr>
              <w:spacing w:before="20" w:after="20"/>
              <w:jc w:val="right"/>
              <w:rPr>
                <w:rFonts w:cstheme="minorHAnsi"/>
                <w:sz w:val="19"/>
                <w:szCs w:val="19"/>
              </w:rPr>
            </w:pPr>
            <w:r w:rsidRPr="00E6041E">
              <w:rPr>
                <w:rFonts w:cstheme="minorHAnsi"/>
                <w:sz w:val="19"/>
                <w:szCs w:val="19"/>
              </w:rPr>
              <w:t>(4,492)</w:t>
            </w:r>
          </w:p>
        </w:tc>
        <w:tc>
          <w:tcPr>
            <w:tcW w:w="1162" w:type="dxa"/>
            <w:tcBorders>
              <w:top w:val="single" w:sz="4" w:space="0" w:color="auto"/>
              <w:bottom w:val="single" w:sz="4" w:space="0" w:color="auto"/>
            </w:tcBorders>
            <w:noWrap/>
          </w:tcPr>
          <w:p w14:paraId="35999B2E" w14:textId="77777777" w:rsidR="00510F78" w:rsidRPr="00E6041E" w:rsidRDefault="00510F78">
            <w:pPr>
              <w:spacing w:before="20" w:after="20"/>
              <w:jc w:val="right"/>
              <w:rPr>
                <w:rFonts w:cstheme="minorHAnsi"/>
                <w:sz w:val="19"/>
                <w:szCs w:val="19"/>
              </w:rPr>
            </w:pPr>
            <w:r w:rsidRPr="00E6041E">
              <w:rPr>
                <w:rFonts w:cstheme="minorHAnsi"/>
                <w:sz w:val="19"/>
                <w:szCs w:val="19"/>
              </w:rPr>
              <w:t>(4,679)</w:t>
            </w:r>
          </w:p>
        </w:tc>
        <w:tc>
          <w:tcPr>
            <w:tcW w:w="1163" w:type="dxa"/>
            <w:tcBorders>
              <w:top w:val="single" w:sz="4" w:space="0" w:color="auto"/>
              <w:bottom w:val="single" w:sz="4" w:space="0" w:color="auto"/>
            </w:tcBorders>
            <w:noWrap/>
          </w:tcPr>
          <w:p w14:paraId="60E30F7F" w14:textId="77777777" w:rsidR="00510F78" w:rsidRPr="00E6041E" w:rsidRDefault="00510F78">
            <w:pPr>
              <w:spacing w:before="20" w:after="20"/>
              <w:jc w:val="right"/>
              <w:rPr>
                <w:rFonts w:cstheme="minorHAnsi"/>
                <w:sz w:val="19"/>
                <w:szCs w:val="19"/>
              </w:rPr>
            </w:pPr>
            <w:r w:rsidRPr="00E6041E">
              <w:rPr>
                <w:rFonts w:cstheme="minorHAnsi"/>
                <w:sz w:val="19"/>
                <w:szCs w:val="19"/>
              </w:rPr>
              <w:t>(4,764)</w:t>
            </w:r>
          </w:p>
        </w:tc>
      </w:tr>
      <w:tr w:rsidR="00510F78" w:rsidRPr="00E6041E" w14:paraId="0690AD8D" w14:textId="77777777" w:rsidTr="006C09AF">
        <w:trPr>
          <w:trHeight w:val="300"/>
        </w:trPr>
        <w:tc>
          <w:tcPr>
            <w:tcW w:w="1843" w:type="dxa"/>
            <w:tcBorders>
              <w:top w:val="single" w:sz="4" w:space="0" w:color="auto"/>
              <w:bottom w:val="single" w:sz="4" w:space="0" w:color="auto"/>
            </w:tcBorders>
            <w:shd w:val="clear" w:color="auto" w:fill="E5E6E8" w:themeFill="accent2" w:themeFillTint="33"/>
            <w:noWrap/>
            <w:hideMark/>
          </w:tcPr>
          <w:p w14:paraId="19750ABE" w14:textId="77777777" w:rsidR="00510F78" w:rsidRPr="00E6041E" w:rsidRDefault="00510F78">
            <w:pPr>
              <w:spacing w:before="20" w:after="20"/>
              <w:rPr>
                <w:rFonts w:cstheme="minorHAnsi"/>
                <w:sz w:val="19"/>
                <w:szCs w:val="19"/>
              </w:rPr>
            </w:pPr>
            <w:r w:rsidRPr="00E6041E">
              <w:rPr>
                <w:rFonts w:cstheme="minorHAnsi"/>
                <w:sz w:val="19"/>
                <w:szCs w:val="19"/>
              </w:rPr>
              <w:t>3.1.3 City growth fund</w:t>
            </w:r>
          </w:p>
        </w:tc>
        <w:tc>
          <w:tcPr>
            <w:tcW w:w="992" w:type="dxa"/>
            <w:tcBorders>
              <w:top w:val="single" w:sz="4" w:space="0" w:color="auto"/>
              <w:bottom w:val="single" w:sz="4" w:space="0" w:color="auto"/>
            </w:tcBorders>
            <w:noWrap/>
            <w:hideMark/>
          </w:tcPr>
          <w:p w14:paraId="3A29CCA1" w14:textId="77777777" w:rsidR="00510F78" w:rsidRPr="00E6041E" w:rsidRDefault="00510F78">
            <w:pPr>
              <w:spacing w:before="20" w:after="20"/>
              <w:rPr>
                <w:rFonts w:cstheme="minorHAnsi"/>
                <w:sz w:val="19"/>
                <w:szCs w:val="19"/>
              </w:rPr>
            </w:pPr>
            <w:r w:rsidRPr="00E6041E">
              <w:rPr>
                <w:rFonts w:cstheme="minorHAnsi"/>
                <w:sz w:val="19"/>
                <w:szCs w:val="19"/>
              </w:rPr>
              <w:t>Expense</w:t>
            </w:r>
          </w:p>
        </w:tc>
        <w:tc>
          <w:tcPr>
            <w:tcW w:w="1162" w:type="dxa"/>
            <w:tcBorders>
              <w:top w:val="single" w:sz="4" w:space="0" w:color="auto"/>
              <w:bottom w:val="single" w:sz="4" w:space="0" w:color="auto"/>
            </w:tcBorders>
            <w:noWrap/>
          </w:tcPr>
          <w:p w14:paraId="709C1068" w14:textId="77777777" w:rsidR="00510F78" w:rsidRPr="00E6041E" w:rsidRDefault="00510F78">
            <w:pPr>
              <w:spacing w:before="20" w:after="20"/>
              <w:jc w:val="right"/>
              <w:rPr>
                <w:rFonts w:cstheme="minorHAnsi"/>
                <w:sz w:val="19"/>
                <w:szCs w:val="19"/>
              </w:rPr>
            </w:pPr>
            <w:r w:rsidRPr="00E6041E">
              <w:rPr>
                <w:rFonts w:cstheme="minorHAnsi"/>
                <w:sz w:val="19"/>
                <w:szCs w:val="19"/>
              </w:rPr>
              <w:t>3,010</w:t>
            </w:r>
          </w:p>
        </w:tc>
        <w:tc>
          <w:tcPr>
            <w:tcW w:w="1162" w:type="dxa"/>
            <w:tcBorders>
              <w:top w:val="single" w:sz="4" w:space="0" w:color="auto"/>
              <w:bottom w:val="single" w:sz="4" w:space="0" w:color="auto"/>
            </w:tcBorders>
            <w:noWrap/>
          </w:tcPr>
          <w:p w14:paraId="2E2E5068" w14:textId="77777777" w:rsidR="00510F78" w:rsidRPr="00E6041E" w:rsidRDefault="00510F78">
            <w:pPr>
              <w:spacing w:before="20" w:after="20"/>
              <w:jc w:val="right"/>
              <w:rPr>
                <w:rFonts w:cstheme="minorHAnsi"/>
                <w:sz w:val="19"/>
                <w:szCs w:val="19"/>
              </w:rPr>
            </w:pPr>
            <w:r w:rsidRPr="00E6041E">
              <w:rPr>
                <w:rFonts w:cstheme="minorHAnsi"/>
                <w:sz w:val="19"/>
                <w:szCs w:val="19"/>
              </w:rPr>
              <w:t>3,135</w:t>
            </w:r>
          </w:p>
        </w:tc>
        <w:tc>
          <w:tcPr>
            <w:tcW w:w="1163" w:type="dxa"/>
            <w:tcBorders>
              <w:top w:val="single" w:sz="4" w:space="0" w:color="auto"/>
              <w:bottom w:val="single" w:sz="4" w:space="0" w:color="auto"/>
            </w:tcBorders>
            <w:noWrap/>
          </w:tcPr>
          <w:p w14:paraId="41CF6B8A" w14:textId="77777777" w:rsidR="00510F78" w:rsidRPr="00E6041E" w:rsidRDefault="00510F78">
            <w:pPr>
              <w:spacing w:before="20" w:after="20"/>
              <w:jc w:val="right"/>
              <w:rPr>
                <w:rFonts w:cstheme="minorHAnsi"/>
                <w:sz w:val="19"/>
                <w:szCs w:val="19"/>
              </w:rPr>
            </w:pPr>
            <w:r w:rsidRPr="00E6041E">
              <w:rPr>
                <w:rFonts w:cstheme="minorHAnsi"/>
                <w:sz w:val="19"/>
                <w:szCs w:val="19"/>
              </w:rPr>
              <w:t>3,159</w:t>
            </w:r>
          </w:p>
        </w:tc>
        <w:tc>
          <w:tcPr>
            <w:tcW w:w="1162" w:type="dxa"/>
            <w:tcBorders>
              <w:top w:val="single" w:sz="4" w:space="0" w:color="auto"/>
              <w:bottom w:val="single" w:sz="4" w:space="0" w:color="auto"/>
            </w:tcBorders>
            <w:noWrap/>
          </w:tcPr>
          <w:p w14:paraId="4D5D6B18" w14:textId="77777777" w:rsidR="00510F78" w:rsidRPr="00E6041E" w:rsidRDefault="00510F78">
            <w:pPr>
              <w:spacing w:before="20" w:after="20"/>
              <w:jc w:val="right"/>
              <w:rPr>
                <w:rFonts w:cstheme="minorHAnsi"/>
                <w:sz w:val="19"/>
                <w:szCs w:val="19"/>
              </w:rPr>
            </w:pPr>
            <w:r w:rsidRPr="00E6041E">
              <w:rPr>
                <w:rFonts w:cstheme="minorHAnsi"/>
                <w:sz w:val="19"/>
                <w:szCs w:val="19"/>
              </w:rPr>
              <w:t>3,186</w:t>
            </w:r>
          </w:p>
        </w:tc>
        <w:tc>
          <w:tcPr>
            <w:tcW w:w="1163" w:type="dxa"/>
            <w:tcBorders>
              <w:top w:val="single" w:sz="4" w:space="0" w:color="auto"/>
              <w:bottom w:val="single" w:sz="4" w:space="0" w:color="auto"/>
            </w:tcBorders>
            <w:noWrap/>
          </w:tcPr>
          <w:p w14:paraId="13E24905" w14:textId="77777777" w:rsidR="00510F78" w:rsidRPr="00E6041E" w:rsidRDefault="00510F78">
            <w:pPr>
              <w:spacing w:before="20" w:after="20"/>
              <w:jc w:val="right"/>
              <w:rPr>
                <w:rFonts w:cstheme="minorHAnsi"/>
                <w:sz w:val="19"/>
                <w:szCs w:val="19"/>
              </w:rPr>
            </w:pPr>
            <w:r w:rsidRPr="00E6041E">
              <w:rPr>
                <w:rFonts w:cstheme="minorHAnsi"/>
                <w:sz w:val="19"/>
                <w:szCs w:val="19"/>
              </w:rPr>
              <w:t>3,205</w:t>
            </w:r>
          </w:p>
        </w:tc>
        <w:tc>
          <w:tcPr>
            <w:tcW w:w="1162" w:type="dxa"/>
            <w:tcBorders>
              <w:top w:val="single" w:sz="4" w:space="0" w:color="auto"/>
              <w:bottom w:val="single" w:sz="4" w:space="0" w:color="auto"/>
            </w:tcBorders>
            <w:noWrap/>
          </w:tcPr>
          <w:p w14:paraId="6B17FB5D" w14:textId="77777777" w:rsidR="00510F78" w:rsidRPr="00E6041E" w:rsidRDefault="00510F78">
            <w:pPr>
              <w:spacing w:before="20" w:after="20"/>
              <w:jc w:val="right"/>
              <w:rPr>
                <w:rFonts w:cstheme="minorHAnsi"/>
                <w:sz w:val="19"/>
                <w:szCs w:val="19"/>
              </w:rPr>
            </w:pPr>
            <w:r w:rsidRPr="00E6041E">
              <w:rPr>
                <w:rFonts w:cstheme="minorHAnsi"/>
                <w:sz w:val="19"/>
                <w:szCs w:val="19"/>
              </w:rPr>
              <w:t>3,241</w:t>
            </w:r>
          </w:p>
        </w:tc>
        <w:tc>
          <w:tcPr>
            <w:tcW w:w="1162" w:type="dxa"/>
            <w:tcBorders>
              <w:top w:val="single" w:sz="4" w:space="0" w:color="auto"/>
              <w:bottom w:val="single" w:sz="4" w:space="0" w:color="auto"/>
            </w:tcBorders>
            <w:noWrap/>
          </w:tcPr>
          <w:p w14:paraId="1213019E" w14:textId="77777777" w:rsidR="00510F78" w:rsidRPr="00E6041E" w:rsidRDefault="00510F78">
            <w:pPr>
              <w:spacing w:before="20" w:after="20"/>
              <w:jc w:val="right"/>
              <w:rPr>
                <w:rFonts w:cstheme="minorHAnsi"/>
                <w:sz w:val="19"/>
                <w:szCs w:val="19"/>
              </w:rPr>
            </w:pPr>
            <w:r w:rsidRPr="00E6041E">
              <w:rPr>
                <w:rFonts w:cstheme="minorHAnsi"/>
                <w:sz w:val="19"/>
                <w:szCs w:val="19"/>
              </w:rPr>
              <w:t>3,269</w:t>
            </w:r>
          </w:p>
        </w:tc>
        <w:tc>
          <w:tcPr>
            <w:tcW w:w="1163" w:type="dxa"/>
            <w:tcBorders>
              <w:top w:val="single" w:sz="4" w:space="0" w:color="auto"/>
              <w:bottom w:val="single" w:sz="4" w:space="0" w:color="auto"/>
            </w:tcBorders>
            <w:noWrap/>
          </w:tcPr>
          <w:p w14:paraId="7E31D459" w14:textId="77777777" w:rsidR="00510F78" w:rsidRPr="00E6041E" w:rsidRDefault="00510F78">
            <w:pPr>
              <w:spacing w:before="20" w:after="20"/>
              <w:jc w:val="right"/>
              <w:rPr>
                <w:rFonts w:cstheme="minorHAnsi"/>
                <w:sz w:val="19"/>
                <w:szCs w:val="19"/>
              </w:rPr>
            </w:pPr>
            <w:r w:rsidRPr="00E6041E">
              <w:rPr>
                <w:rFonts w:cstheme="minorHAnsi"/>
                <w:sz w:val="19"/>
                <w:szCs w:val="19"/>
              </w:rPr>
              <w:t>3,296</w:t>
            </w:r>
          </w:p>
        </w:tc>
        <w:tc>
          <w:tcPr>
            <w:tcW w:w="1162" w:type="dxa"/>
            <w:tcBorders>
              <w:top w:val="single" w:sz="4" w:space="0" w:color="auto"/>
              <w:bottom w:val="single" w:sz="4" w:space="0" w:color="auto"/>
            </w:tcBorders>
            <w:noWrap/>
          </w:tcPr>
          <w:p w14:paraId="58AC653F" w14:textId="77777777" w:rsidR="00510F78" w:rsidRPr="00E6041E" w:rsidRDefault="00510F78">
            <w:pPr>
              <w:spacing w:before="20" w:after="20"/>
              <w:jc w:val="right"/>
              <w:rPr>
                <w:rFonts w:cstheme="minorHAnsi"/>
                <w:sz w:val="19"/>
                <w:szCs w:val="19"/>
              </w:rPr>
            </w:pPr>
            <w:r w:rsidRPr="00E6041E">
              <w:rPr>
                <w:rFonts w:cstheme="minorHAnsi"/>
                <w:sz w:val="19"/>
                <w:szCs w:val="19"/>
              </w:rPr>
              <w:t>3,317</w:t>
            </w:r>
          </w:p>
        </w:tc>
        <w:tc>
          <w:tcPr>
            <w:tcW w:w="1163" w:type="dxa"/>
            <w:tcBorders>
              <w:top w:val="single" w:sz="4" w:space="0" w:color="auto"/>
              <w:bottom w:val="single" w:sz="4" w:space="0" w:color="auto"/>
            </w:tcBorders>
            <w:noWrap/>
          </w:tcPr>
          <w:p w14:paraId="68B51918" w14:textId="77777777" w:rsidR="00510F78" w:rsidRPr="00E6041E" w:rsidRDefault="00510F78">
            <w:pPr>
              <w:spacing w:before="20" w:after="20"/>
              <w:jc w:val="right"/>
              <w:rPr>
                <w:rFonts w:cstheme="minorHAnsi"/>
                <w:sz w:val="19"/>
                <w:szCs w:val="19"/>
              </w:rPr>
            </w:pPr>
            <w:r w:rsidRPr="00E6041E">
              <w:rPr>
                <w:rFonts w:cstheme="minorHAnsi"/>
                <w:sz w:val="19"/>
                <w:szCs w:val="19"/>
              </w:rPr>
              <w:t>3,353</w:t>
            </w:r>
          </w:p>
        </w:tc>
      </w:tr>
      <w:tr w:rsidR="00510F78" w:rsidRPr="00E6041E" w14:paraId="4FB05F82" w14:textId="77777777" w:rsidTr="006C09AF">
        <w:trPr>
          <w:trHeight w:val="300"/>
        </w:trPr>
        <w:tc>
          <w:tcPr>
            <w:tcW w:w="1843" w:type="dxa"/>
            <w:tcBorders>
              <w:top w:val="single" w:sz="4" w:space="0" w:color="auto"/>
              <w:bottom w:val="single" w:sz="4" w:space="0" w:color="auto"/>
            </w:tcBorders>
            <w:shd w:val="clear" w:color="auto" w:fill="E5E6E8" w:themeFill="accent2" w:themeFillTint="33"/>
            <w:noWrap/>
            <w:hideMark/>
          </w:tcPr>
          <w:p w14:paraId="775EA90D" w14:textId="77777777" w:rsidR="00510F78" w:rsidRPr="00E6041E" w:rsidRDefault="00510F78">
            <w:pPr>
              <w:spacing w:before="20" w:after="20"/>
              <w:rPr>
                <w:rFonts w:cstheme="minorHAnsi"/>
                <w:sz w:val="19"/>
                <w:szCs w:val="19"/>
              </w:rPr>
            </w:pPr>
            <w:r w:rsidRPr="00E6041E">
              <w:rPr>
                <w:rFonts w:cstheme="minorHAnsi"/>
                <w:sz w:val="19"/>
                <w:szCs w:val="19"/>
              </w:rPr>
              <w:t>3.1.4 Major Economic Projects</w:t>
            </w:r>
          </w:p>
        </w:tc>
        <w:tc>
          <w:tcPr>
            <w:tcW w:w="992" w:type="dxa"/>
            <w:tcBorders>
              <w:top w:val="single" w:sz="4" w:space="0" w:color="auto"/>
              <w:bottom w:val="single" w:sz="4" w:space="0" w:color="auto"/>
            </w:tcBorders>
            <w:noWrap/>
            <w:hideMark/>
          </w:tcPr>
          <w:p w14:paraId="058845B9" w14:textId="77777777" w:rsidR="00510F78" w:rsidRPr="00E6041E" w:rsidRDefault="00510F78">
            <w:pPr>
              <w:spacing w:before="20" w:after="20"/>
              <w:rPr>
                <w:rFonts w:cstheme="minorHAnsi"/>
                <w:sz w:val="19"/>
                <w:szCs w:val="19"/>
              </w:rPr>
            </w:pPr>
            <w:r w:rsidRPr="00E6041E">
              <w:rPr>
                <w:rFonts w:cstheme="minorHAnsi"/>
                <w:sz w:val="19"/>
                <w:szCs w:val="19"/>
              </w:rPr>
              <w:t>Expense</w:t>
            </w:r>
          </w:p>
        </w:tc>
        <w:tc>
          <w:tcPr>
            <w:tcW w:w="1162" w:type="dxa"/>
            <w:tcBorders>
              <w:top w:val="single" w:sz="4" w:space="0" w:color="auto"/>
              <w:bottom w:val="single" w:sz="4" w:space="0" w:color="auto"/>
            </w:tcBorders>
            <w:noWrap/>
          </w:tcPr>
          <w:p w14:paraId="57E77032" w14:textId="77777777" w:rsidR="00510F78" w:rsidRPr="00E6041E" w:rsidRDefault="00510F78">
            <w:pPr>
              <w:spacing w:before="20" w:after="20"/>
              <w:jc w:val="right"/>
              <w:rPr>
                <w:rFonts w:cstheme="minorHAnsi"/>
                <w:sz w:val="19"/>
                <w:szCs w:val="19"/>
              </w:rPr>
            </w:pPr>
            <w:r w:rsidRPr="00E6041E">
              <w:rPr>
                <w:rFonts w:cstheme="minorHAnsi"/>
                <w:sz w:val="19"/>
                <w:szCs w:val="19"/>
              </w:rPr>
              <w:t>0</w:t>
            </w:r>
          </w:p>
        </w:tc>
        <w:tc>
          <w:tcPr>
            <w:tcW w:w="1162" w:type="dxa"/>
            <w:tcBorders>
              <w:top w:val="single" w:sz="4" w:space="0" w:color="auto"/>
              <w:bottom w:val="single" w:sz="4" w:space="0" w:color="auto"/>
            </w:tcBorders>
            <w:noWrap/>
          </w:tcPr>
          <w:p w14:paraId="64C80B86" w14:textId="77777777" w:rsidR="00510F78" w:rsidRPr="00E6041E" w:rsidRDefault="00510F78">
            <w:pPr>
              <w:spacing w:before="20" w:after="20"/>
              <w:jc w:val="right"/>
              <w:rPr>
                <w:rFonts w:cstheme="minorHAnsi"/>
                <w:sz w:val="19"/>
                <w:szCs w:val="19"/>
              </w:rPr>
            </w:pPr>
            <w:r w:rsidRPr="00E6041E">
              <w:rPr>
                <w:rFonts w:cstheme="minorHAnsi"/>
                <w:sz w:val="19"/>
                <w:szCs w:val="19"/>
              </w:rPr>
              <w:t>2,941</w:t>
            </w:r>
          </w:p>
        </w:tc>
        <w:tc>
          <w:tcPr>
            <w:tcW w:w="1163" w:type="dxa"/>
            <w:tcBorders>
              <w:top w:val="single" w:sz="4" w:space="0" w:color="auto"/>
              <w:bottom w:val="single" w:sz="4" w:space="0" w:color="auto"/>
            </w:tcBorders>
            <w:noWrap/>
          </w:tcPr>
          <w:p w14:paraId="696EF9F4" w14:textId="77777777" w:rsidR="00510F78" w:rsidRPr="00E6041E" w:rsidRDefault="00510F78">
            <w:pPr>
              <w:spacing w:before="20" w:after="20"/>
              <w:jc w:val="right"/>
              <w:rPr>
                <w:rFonts w:cstheme="minorHAnsi"/>
                <w:sz w:val="19"/>
                <w:szCs w:val="19"/>
              </w:rPr>
            </w:pPr>
            <w:r w:rsidRPr="00E6041E">
              <w:rPr>
                <w:rFonts w:cstheme="minorHAnsi"/>
                <w:sz w:val="19"/>
                <w:szCs w:val="19"/>
              </w:rPr>
              <w:t>2,944</w:t>
            </w:r>
          </w:p>
        </w:tc>
        <w:tc>
          <w:tcPr>
            <w:tcW w:w="1162" w:type="dxa"/>
            <w:tcBorders>
              <w:top w:val="single" w:sz="4" w:space="0" w:color="auto"/>
              <w:bottom w:val="single" w:sz="4" w:space="0" w:color="auto"/>
            </w:tcBorders>
            <w:noWrap/>
          </w:tcPr>
          <w:p w14:paraId="61780385" w14:textId="77777777" w:rsidR="00510F78" w:rsidRPr="00E6041E" w:rsidRDefault="00510F78">
            <w:pPr>
              <w:spacing w:before="20" w:after="20"/>
              <w:jc w:val="right"/>
              <w:rPr>
                <w:rFonts w:cstheme="minorHAnsi"/>
                <w:sz w:val="19"/>
                <w:szCs w:val="19"/>
              </w:rPr>
            </w:pPr>
            <w:r w:rsidRPr="00E6041E">
              <w:rPr>
                <w:rFonts w:cstheme="minorHAnsi"/>
                <w:sz w:val="19"/>
                <w:szCs w:val="19"/>
              </w:rPr>
              <w:t>3,072</w:t>
            </w:r>
          </w:p>
        </w:tc>
        <w:tc>
          <w:tcPr>
            <w:tcW w:w="1163" w:type="dxa"/>
            <w:tcBorders>
              <w:top w:val="single" w:sz="4" w:space="0" w:color="auto"/>
              <w:bottom w:val="single" w:sz="4" w:space="0" w:color="auto"/>
            </w:tcBorders>
            <w:noWrap/>
          </w:tcPr>
          <w:p w14:paraId="542BE526" w14:textId="77777777" w:rsidR="00510F78" w:rsidRPr="00E6041E" w:rsidRDefault="00510F78">
            <w:pPr>
              <w:spacing w:before="20" w:after="20"/>
              <w:jc w:val="right"/>
              <w:rPr>
                <w:rFonts w:cstheme="minorHAnsi"/>
                <w:sz w:val="19"/>
                <w:szCs w:val="19"/>
              </w:rPr>
            </w:pPr>
            <w:r w:rsidRPr="00E6041E">
              <w:rPr>
                <w:rFonts w:cstheme="minorHAnsi"/>
                <w:sz w:val="19"/>
                <w:szCs w:val="19"/>
              </w:rPr>
              <w:t>348</w:t>
            </w:r>
          </w:p>
        </w:tc>
        <w:tc>
          <w:tcPr>
            <w:tcW w:w="1162" w:type="dxa"/>
            <w:tcBorders>
              <w:top w:val="single" w:sz="4" w:space="0" w:color="auto"/>
              <w:bottom w:val="single" w:sz="4" w:space="0" w:color="auto"/>
            </w:tcBorders>
            <w:noWrap/>
          </w:tcPr>
          <w:p w14:paraId="3302C8DC" w14:textId="77777777" w:rsidR="00510F78" w:rsidRPr="00E6041E" w:rsidRDefault="00510F78">
            <w:pPr>
              <w:spacing w:before="20" w:after="20"/>
              <w:jc w:val="right"/>
              <w:rPr>
                <w:rFonts w:cstheme="minorHAnsi"/>
                <w:sz w:val="19"/>
                <w:szCs w:val="19"/>
              </w:rPr>
            </w:pPr>
            <w:r w:rsidRPr="00E6041E">
              <w:rPr>
                <w:rFonts w:cstheme="minorHAnsi"/>
                <w:sz w:val="19"/>
                <w:szCs w:val="19"/>
              </w:rPr>
              <w:t>1,500</w:t>
            </w:r>
          </w:p>
        </w:tc>
        <w:tc>
          <w:tcPr>
            <w:tcW w:w="1162" w:type="dxa"/>
            <w:tcBorders>
              <w:top w:val="single" w:sz="4" w:space="0" w:color="auto"/>
              <w:bottom w:val="single" w:sz="4" w:space="0" w:color="auto"/>
            </w:tcBorders>
            <w:noWrap/>
          </w:tcPr>
          <w:p w14:paraId="0CE06289" w14:textId="77777777" w:rsidR="00510F78" w:rsidRPr="00E6041E" w:rsidRDefault="00510F78">
            <w:pPr>
              <w:spacing w:before="20" w:after="20"/>
              <w:jc w:val="right"/>
              <w:rPr>
                <w:rFonts w:cstheme="minorHAnsi"/>
                <w:sz w:val="19"/>
                <w:szCs w:val="19"/>
              </w:rPr>
            </w:pPr>
            <w:r w:rsidRPr="00E6041E">
              <w:rPr>
                <w:rFonts w:cstheme="minorHAnsi"/>
                <w:sz w:val="19"/>
                <w:szCs w:val="19"/>
              </w:rPr>
              <w:t>1,500</w:t>
            </w:r>
          </w:p>
        </w:tc>
        <w:tc>
          <w:tcPr>
            <w:tcW w:w="1163" w:type="dxa"/>
            <w:tcBorders>
              <w:top w:val="single" w:sz="4" w:space="0" w:color="auto"/>
              <w:bottom w:val="single" w:sz="4" w:space="0" w:color="auto"/>
            </w:tcBorders>
            <w:noWrap/>
          </w:tcPr>
          <w:p w14:paraId="1730E79B" w14:textId="77777777" w:rsidR="00510F78" w:rsidRPr="00E6041E" w:rsidRDefault="00510F78">
            <w:pPr>
              <w:spacing w:before="20" w:after="20"/>
              <w:jc w:val="right"/>
              <w:rPr>
                <w:rFonts w:cstheme="minorHAnsi"/>
                <w:sz w:val="19"/>
                <w:szCs w:val="19"/>
              </w:rPr>
            </w:pPr>
            <w:r w:rsidRPr="00E6041E">
              <w:rPr>
                <w:rFonts w:cstheme="minorHAnsi"/>
                <w:sz w:val="19"/>
                <w:szCs w:val="19"/>
              </w:rPr>
              <w:t>1,500</w:t>
            </w:r>
          </w:p>
        </w:tc>
        <w:tc>
          <w:tcPr>
            <w:tcW w:w="1162" w:type="dxa"/>
            <w:tcBorders>
              <w:top w:val="single" w:sz="4" w:space="0" w:color="auto"/>
              <w:bottom w:val="single" w:sz="4" w:space="0" w:color="auto"/>
            </w:tcBorders>
            <w:noWrap/>
          </w:tcPr>
          <w:p w14:paraId="4A31E3E0" w14:textId="77777777" w:rsidR="00510F78" w:rsidRPr="00E6041E" w:rsidRDefault="00510F78">
            <w:pPr>
              <w:spacing w:before="20" w:after="20"/>
              <w:jc w:val="right"/>
              <w:rPr>
                <w:rFonts w:cstheme="minorHAnsi"/>
                <w:sz w:val="19"/>
                <w:szCs w:val="19"/>
              </w:rPr>
            </w:pPr>
            <w:r w:rsidRPr="00E6041E">
              <w:rPr>
                <w:rFonts w:cstheme="minorHAnsi"/>
                <w:sz w:val="19"/>
                <w:szCs w:val="19"/>
              </w:rPr>
              <w:t>1,500</w:t>
            </w:r>
          </w:p>
        </w:tc>
        <w:tc>
          <w:tcPr>
            <w:tcW w:w="1163" w:type="dxa"/>
            <w:tcBorders>
              <w:top w:val="single" w:sz="4" w:space="0" w:color="auto"/>
              <w:bottom w:val="single" w:sz="4" w:space="0" w:color="auto"/>
            </w:tcBorders>
            <w:noWrap/>
          </w:tcPr>
          <w:p w14:paraId="76FFD58C" w14:textId="77777777" w:rsidR="00510F78" w:rsidRPr="00E6041E" w:rsidRDefault="00510F78">
            <w:pPr>
              <w:spacing w:before="20" w:after="20"/>
              <w:jc w:val="right"/>
              <w:rPr>
                <w:rFonts w:cstheme="minorHAnsi"/>
                <w:sz w:val="19"/>
                <w:szCs w:val="19"/>
              </w:rPr>
            </w:pPr>
            <w:r w:rsidRPr="00E6041E">
              <w:rPr>
                <w:rFonts w:cstheme="minorHAnsi"/>
                <w:sz w:val="19"/>
                <w:szCs w:val="19"/>
              </w:rPr>
              <w:t>1,500</w:t>
            </w:r>
          </w:p>
        </w:tc>
      </w:tr>
      <w:tr w:rsidR="00510F78" w:rsidRPr="00E6041E" w14:paraId="70FC3548" w14:textId="77777777" w:rsidTr="006C09AF">
        <w:trPr>
          <w:trHeight w:val="300"/>
        </w:trPr>
        <w:tc>
          <w:tcPr>
            <w:tcW w:w="1843" w:type="dxa"/>
            <w:tcBorders>
              <w:top w:val="single" w:sz="4" w:space="0" w:color="auto"/>
              <w:bottom w:val="single" w:sz="4" w:space="0" w:color="auto"/>
            </w:tcBorders>
            <w:shd w:val="clear" w:color="auto" w:fill="E5E6E8" w:themeFill="accent2" w:themeFillTint="33"/>
            <w:noWrap/>
            <w:hideMark/>
          </w:tcPr>
          <w:p w14:paraId="3C4CDD9C" w14:textId="77777777" w:rsidR="00510F78" w:rsidRPr="00E6041E" w:rsidRDefault="00510F78">
            <w:pPr>
              <w:spacing w:before="20" w:after="20"/>
              <w:rPr>
                <w:rFonts w:cstheme="minorHAnsi"/>
                <w:sz w:val="19"/>
                <w:szCs w:val="19"/>
              </w:rPr>
            </w:pPr>
            <w:r w:rsidRPr="00E6041E">
              <w:rPr>
                <w:rFonts w:cstheme="minorHAnsi"/>
                <w:sz w:val="19"/>
                <w:szCs w:val="19"/>
              </w:rPr>
              <w:t>3.1.5 International relations</w:t>
            </w:r>
          </w:p>
        </w:tc>
        <w:tc>
          <w:tcPr>
            <w:tcW w:w="992" w:type="dxa"/>
            <w:tcBorders>
              <w:top w:val="single" w:sz="4" w:space="0" w:color="auto"/>
              <w:bottom w:val="single" w:sz="4" w:space="0" w:color="auto"/>
            </w:tcBorders>
            <w:noWrap/>
            <w:hideMark/>
          </w:tcPr>
          <w:p w14:paraId="6BDE8C46" w14:textId="77777777" w:rsidR="00510F78" w:rsidRPr="00E6041E" w:rsidRDefault="00510F78">
            <w:pPr>
              <w:spacing w:before="20" w:after="20"/>
              <w:rPr>
                <w:rFonts w:cstheme="minorHAnsi"/>
                <w:sz w:val="19"/>
                <w:szCs w:val="19"/>
              </w:rPr>
            </w:pPr>
            <w:r w:rsidRPr="00E6041E">
              <w:rPr>
                <w:rFonts w:cstheme="minorHAnsi"/>
                <w:sz w:val="19"/>
                <w:szCs w:val="19"/>
              </w:rPr>
              <w:t>Expense</w:t>
            </w:r>
          </w:p>
        </w:tc>
        <w:tc>
          <w:tcPr>
            <w:tcW w:w="1162" w:type="dxa"/>
            <w:tcBorders>
              <w:top w:val="single" w:sz="4" w:space="0" w:color="auto"/>
              <w:bottom w:val="single" w:sz="4" w:space="0" w:color="auto"/>
            </w:tcBorders>
            <w:noWrap/>
          </w:tcPr>
          <w:p w14:paraId="53B85B21" w14:textId="77777777" w:rsidR="00510F78" w:rsidRPr="00E6041E" w:rsidRDefault="00510F78">
            <w:pPr>
              <w:spacing w:before="20" w:after="20"/>
              <w:jc w:val="right"/>
              <w:rPr>
                <w:rFonts w:cstheme="minorHAnsi"/>
                <w:sz w:val="19"/>
                <w:szCs w:val="19"/>
              </w:rPr>
            </w:pPr>
            <w:r w:rsidRPr="00E6041E">
              <w:rPr>
                <w:rFonts w:cstheme="minorHAnsi"/>
                <w:sz w:val="19"/>
                <w:szCs w:val="19"/>
              </w:rPr>
              <w:t>929</w:t>
            </w:r>
          </w:p>
        </w:tc>
        <w:tc>
          <w:tcPr>
            <w:tcW w:w="1162" w:type="dxa"/>
            <w:tcBorders>
              <w:top w:val="single" w:sz="4" w:space="0" w:color="auto"/>
              <w:bottom w:val="single" w:sz="4" w:space="0" w:color="auto"/>
            </w:tcBorders>
            <w:noWrap/>
          </w:tcPr>
          <w:p w14:paraId="628CEB03" w14:textId="77777777" w:rsidR="00510F78" w:rsidRPr="00E6041E" w:rsidRDefault="00510F78">
            <w:pPr>
              <w:spacing w:before="20" w:after="20"/>
              <w:jc w:val="right"/>
              <w:rPr>
                <w:rFonts w:cstheme="minorHAnsi"/>
                <w:sz w:val="19"/>
                <w:szCs w:val="19"/>
              </w:rPr>
            </w:pPr>
            <w:r w:rsidRPr="00E6041E">
              <w:rPr>
                <w:rFonts w:cstheme="minorHAnsi"/>
                <w:sz w:val="19"/>
                <w:szCs w:val="19"/>
              </w:rPr>
              <w:t>959</w:t>
            </w:r>
          </w:p>
        </w:tc>
        <w:tc>
          <w:tcPr>
            <w:tcW w:w="1163" w:type="dxa"/>
            <w:tcBorders>
              <w:top w:val="single" w:sz="4" w:space="0" w:color="auto"/>
              <w:bottom w:val="single" w:sz="4" w:space="0" w:color="auto"/>
            </w:tcBorders>
            <w:noWrap/>
          </w:tcPr>
          <w:p w14:paraId="5320ACC1" w14:textId="77777777" w:rsidR="00510F78" w:rsidRPr="00E6041E" w:rsidRDefault="00510F78">
            <w:pPr>
              <w:spacing w:before="20" w:after="20"/>
              <w:jc w:val="right"/>
              <w:rPr>
                <w:rFonts w:cstheme="minorHAnsi"/>
                <w:sz w:val="19"/>
                <w:szCs w:val="19"/>
              </w:rPr>
            </w:pPr>
            <w:r w:rsidRPr="00E6041E">
              <w:rPr>
                <w:rFonts w:cstheme="minorHAnsi"/>
                <w:sz w:val="19"/>
                <w:szCs w:val="19"/>
              </w:rPr>
              <w:t>987</w:t>
            </w:r>
          </w:p>
        </w:tc>
        <w:tc>
          <w:tcPr>
            <w:tcW w:w="1162" w:type="dxa"/>
            <w:tcBorders>
              <w:top w:val="single" w:sz="4" w:space="0" w:color="auto"/>
              <w:bottom w:val="single" w:sz="4" w:space="0" w:color="auto"/>
            </w:tcBorders>
            <w:noWrap/>
          </w:tcPr>
          <w:p w14:paraId="279039B6" w14:textId="77777777" w:rsidR="00510F78" w:rsidRPr="00E6041E" w:rsidRDefault="00510F78">
            <w:pPr>
              <w:spacing w:before="20" w:after="20"/>
              <w:jc w:val="right"/>
              <w:rPr>
                <w:rFonts w:cstheme="minorHAnsi"/>
                <w:sz w:val="19"/>
                <w:szCs w:val="19"/>
              </w:rPr>
            </w:pPr>
            <w:r w:rsidRPr="00E6041E">
              <w:rPr>
                <w:rFonts w:cstheme="minorHAnsi"/>
                <w:sz w:val="19"/>
                <w:szCs w:val="19"/>
              </w:rPr>
              <w:t>987</w:t>
            </w:r>
          </w:p>
        </w:tc>
        <w:tc>
          <w:tcPr>
            <w:tcW w:w="1163" w:type="dxa"/>
            <w:tcBorders>
              <w:top w:val="single" w:sz="4" w:space="0" w:color="auto"/>
              <w:bottom w:val="single" w:sz="4" w:space="0" w:color="auto"/>
            </w:tcBorders>
            <w:noWrap/>
          </w:tcPr>
          <w:p w14:paraId="6302CD89" w14:textId="77777777" w:rsidR="00510F78" w:rsidRPr="00E6041E" w:rsidRDefault="00510F78">
            <w:pPr>
              <w:spacing w:before="20" w:after="20"/>
              <w:jc w:val="right"/>
              <w:rPr>
                <w:rFonts w:cstheme="minorHAnsi"/>
                <w:sz w:val="19"/>
                <w:szCs w:val="19"/>
              </w:rPr>
            </w:pPr>
            <w:r w:rsidRPr="00E6041E">
              <w:rPr>
                <w:rFonts w:cstheme="minorHAnsi"/>
                <w:sz w:val="19"/>
                <w:szCs w:val="19"/>
              </w:rPr>
              <w:t>1,003</w:t>
            </w:r>
          </w:p>
        </w:tc>
        <w:tc>
          <w:tcPr>
            <w:tcW w:w="1162" w:type="dxa"/>
            <w:tcBorders>
              <w:top w:val="single" w:sz="4" w:space="0" w:color="auto"/>
              <w:bottom w:val="single" w:sz="4" w:space="0" w:color="auto"/>
            </w:tcBorders>
            <w:noWrap/>
          </w:tcPr>
          <w:p w14:paraId="7D93F97A" w14:textId="77777777" w:rsidR="00510F78" w:rsidRPr="00E6041E" w:rsidRDefault="00510F78">
            <w:pPr>
              <w:spacing w:before="20" w:after="20"/>
              <w:jc w:val="right"/>
              <w:rPr>
                <w:rFonts w:cstheme="minorHAnsi"/>
                <w:sz w:val="19"/>
                <w:szCs w:val="19"/>
              </w:rPr>
            </w:pPr>
            <w:r w:rsidRPr="00E6041E">
              <w:rPr>
                <w:rFonts w:cstheme="minorHAnsi"/>
                <w:sz w:val="19"/>
                <w:szCs w:val="19"/>
              </w:rPr>
              <w:t>1,053</w:t>
            </w:r>
          </w:p>
        </w:tc>
        <w:tc>
          <w:tcPr>
            <w:tcW w:w="1162" w:type="dxa"/>
            <w:tcBorders>
              <w:top w:val="single" w:sz="4" w:space="0" w:color="auto"/>
              <w:bottom w:val="single" w:sz="4" w:space="0" w:color="auto"/>
            </w:tcBorders>
            <w:noWrap/>
          </w:tcPr>
          <w:p w14:paraId="30D6AF10" w14:textId="77777777" w:rsidR="00510F78" w:rsidRPr="00E6041E" w:rsidRDefault="00510F78">
            <w:pPr>
              <w:spacing w:before="20" w:after="20"/>
              <w:jc w:val="right"/>
              <w:rPr>
                <w:rFonts w:cstheme="minorHAnsi"/>
                <w:sz w:val="19"/>
                <w:szCs w:val="19"/>
              </w:rPr>
            </w:pPr>
            <w:r w:rsidRPr="00E6041E">
              <w:rPr>
                <w:rFonts w:cstheme="minorHAnsi"/>
                <w:sz w:val="19"/>
                <w:szCs w:val="19"/>
              </w:rPr>
              <w:t>1,054</w:t>
            </w:r>
          </w:p>
        </w:tc>
        <w:tc>
          <w:tcPr>
            <w:tcW w:w="1163" w:type="dxa"/>
            <w:tcBorders>
              <w:top w:val="single" w:sz="4" w:space="0" w:color="auto"/>
              <w:bottom w:val="single" w:sz="4" w:space="0" w:color="auto"/>
            </w:tcBorders>
            <w:noWrap/>
          </w:tcPr>
          <w:p w14:paraId="3706C876" w14:textId="77777777" w:rsidR="00510F78" w:rsidRPr="00E6041E" w:rsidRDefault="00510F78">
            <w:pPr>
              <w:spacing w:before="20" w:after="20"/>
              <w:jc w:val="right"/>
              <w:rPr>
                <w:rFonts w:cstheme="minorHAnsi"/>
                <w:sz w:val="19"/>
                <w:szCs w:val="19"/>
              </w:rPr>
            </w:pPr>
            <w:r w:rsidRPr="00E6041E">
              <w:rPr>
                <w:rFonts w:cstheme="minorHAnsi"/>
                <w:sz w:val="19"/>
                <w:szCs w:val="19"/>
              </w:rPr>
              <w:t>1,076</w:t>
            </w:r>
          </w:p>
        </w:tc>
        <w:tc>
          <w:tcPr>
            <w:tcW w:w="1162" w:type="dxa"/>
            <w:tcBorders>
              <w:top w:val="single" w:sz="4" w:space="0" w:color="auto"/>
              <w:bottom w:val="single" w:sz="4" w:space="0" w:color="auto"/>
            </w:tcBorders>
            <w:noWrap/>
          </w:tcPr>
          <w:p w14:paraId="1A4533EE" w14:textId="77777777" w:rsidR="00510F78" w:rsidRPr="00E6041E" w:rsidRDefault="00510F78">
            <w:pPr>
              <w:spacing w:before="20" w:after="20"/>
              <w:jc w:val="right"/>
              <w:rPr>
                <w:rFonts w:cstheme="minorHAnsi"/>
                <w:sz w:val="19"/>
                <w:szCs w:val="19"/>
              </w:rPr>
            </w:pPr>
            <w:r w:rsidRPr="00E6041E">
              <w:rPr>
                <w:rFonts w:cstheme="minorHAnsi"/>
                <w:sz w:val="19"/>
                <w:szCs w:val="19"/>
              </w:rPr>
              <w:t>1,117</w:t>
            </w:r>
          </w:p>
        </w:tc>
        <w:tc>
          <w:tcPr>
            <w:tcW w:w="1163" w:type="dxa"/>
            <w:tcBorders>
              <w:top w:val="single" w:sz="4" w:space="0" w:color="auto"/>
              <w:bottom w:val="single" w:sz="4" w:space="0" w:color="auto"/>
            </w:tcBorders>
            <w:noWrap/>
          </w:tcPr>
          <w:p w14:paraId="6BE5FBDD" w14:textId="77777777" w:rsidR="00510F78" w:rsidRPr="00E6041E" w:rsidRDefault="00510F78">
            <w:pPr>
              <w:spacing w:before="20" w:after="20"/>
              <w:jc w:val="right"/>
              <w:rPr>
                <w:rFonts w:cstheme="minorHAnsi"/>
                <w:sz w:val="19"/>
                <w:szCs w:val="19"/>
              </w:rPr>
            </w:pPr>
            <w:r w:rsidRPr="00E6041E">
              <w:rPr>
                <w:rFonts w:cstheme="minorHAnsi"/>
                <w:sz w:val="19"/>
                <w:szCs w:val="19"/>
              </w:rPr>
              <w:t>1,122</w:t>
            </w:r>
          </w:p>
        </w:tc>
      </w:tr>
      <w:tr w:rsidR="00510F78" w:rsidRPr="00E6041E" w14:paraId="4D893048" w14:textId="77777777" w:rsidTr="006C09AF">
        <w:trPr>
          <w:trHeight w:val="300"/>
        </w:trPr>
        <w:tc>
          <w:tcPr>
            <w:tcW w:w="1843" w:type="dxa"/>
            <w:tcBorders>
              <w:top w:val="single" w:sz="4" w:space="0" w:color="auto"/>
              <w:bottom w:val="single" w:sz="4" w:space="0" w:color="82858F" w:themeColor="accent2"/>
            </w:tcBorders>
            <w:shd w:val="clear" w:color="auto" w:fill="E5E6E8" w:themeFill="accent2" w:themeFillTint="33"/>
            <w:noWrap/>
            <w:hideMark/>
          </w:tcPr>
          <w:p w14:paraId="16950FDB" w14:textId="77777777" w:rsidR="00510F78" w:rsidRPr="00E6041E" w:rsidRDefault="00510F78">
            <w:pPr>
              <w:spacing w:before="20" w:after="20"/>
              <w:rPr>
                <w:rFonts w:cstheme="minorHAnsi"/>
                <w:sz w:val="19"/>
                <w:szCs w:val="19"/>
              </w:rPr>
            </w:pPr>
            <w:r w:rsidRPr="00E6041E">
              <w:rPr>
                <w:rFonts w:cstheme="minorHAnsi"/>
                <w:sz w:val="19"/>
                <w:szCs w:val="19"/>
              </w:rPr>
              <w:t>3.1.6 Business Improvement Districts</w:t>
            </w:r>
          </w:p>
        </w:tc>
        <w:tc>
          <w:tcPr>
            <w:tcW w:w="992" w:type="dxa"/>
            <w:tcBorders>
              <w:top w:val="single" w:sz="4" w:space="0" w:color="auto"/>
              <w:bottom w:val="single" w:sz="4" w:space="0" w:color="82858F" w:themeColor="accent2"/>
            </w:tcBorders>
            <w:noWrap/>
            <w:hideMark/>
          </w:tcPr>
          <w:p w14:paraId="6F8E1268" w14:textId="77777777" w:rsidR="00510F78" w:rsidRPr="00E6041E" w:rsidRDefault="00510F78">
            <w:pPr>
              <w:spacing w:before="20" w:after="20"/>
              <w:rPr>
                <w:rFonts w:cstheme="minorHAnsi"/>
                <w:sz w:val="19"/>
                <w:szCs w:val="19"/>
              </w:rPr>
            </w:pPr>
            <w:r w:rsidRPr="00E6041E">
              <w:rPr>
                <w:rFonts w:cstheme="minorHAnsi"/>
                <w:sz w:val="19"/>
                <w:szCs w:val="19"/>
              </w:rPr>
              <w:t>Expense</w:t>
            </w:r>
          </w:p>
        </w:tc>
        <w:tc>
          <w:tcPr>
            <w:tcW w:w="1162" w:type="dxa"/>
            <w:tcBorders>
              <w:top w:val="single" w:sz="4" w:space="0" w:color="auto"/>
              <w:bottom w:val="single" w:sz="4" w:space="0" w:color="82858F" w:themeColor="accent2"/>
            </w:tcBorders>
            <w:noWrap/>
          </w:tcPr>
          <w:p w14:paraId="3865156B" w14:textId="77777777" w:rsidR="00510F78" w:rsidRPr="00E6041E" w:rsidRDefault="00510F78">
            <w:pPr>
              <w:spacing w:before="20" w:after="20"/>
              <w:jc w:val="right"/>
              <w:rPr>
                <w:rFonts w:cstheme="minorHAnsi"/>
                <w:sz w:val="19"/>
                <w:szCs w:val="19"/>
              </w:rPr>
            </w:pPr>
            <w:r w:rsidRPr="00E6041E">
              <w:rPr>
                <w:rFonts w:cstheme="minorHAnsi"/>
                <w:sz w:val="19"/>
                <w:szCs w:val="19"/>
              </w:rPr>
              <w:t>557</w:t>
            </w:r>
          </w:p>
        </w:tc>
        <w:tc>
          <w:tcPr>
            <w:tcW w:w="1162" w:type="dxa"/>
            <w:tcBorders>
              <w:top w:val="single" w:sz="4" w:space="0" w:color="auto"/>
              <w:bottom w:val="single" w:sz="4" w:space="0" w:color="82858F" w:themeColor="accent2"/>
            </w:tcBorders>
            <w:noWrap/>
          </w:tcPr>
          <w:p w14:paraId="18F38A9B" w14:textId="77777777" w:rsidR="00510F78" w:rsidRPr="00E6041E" w:rsidRDefault="00510F78">
            <w:pPr>
              <w:spacing w:before="20" w:after="20"/>
              <w:jc w:val="right"/>
              <w:rPr>
                <w:rFonts w:cstheme="minorHAnsi"/>
                <w:sz w:val="19"/>
                <w:szCs w:val="19"/>
              </w:rPr>
            </w:pPr>
            <w:r w:rsidRPr="00E6041E">
              <w:rPr>
                <w:rFonts w:cstheme="minorHAnsi"/>
                <w:sz w:val="19"/>
                <w:szCs w:val="19"/>
              </w:rPr>
              <w:t>559</w:t>
            </w:r>
          </w:p>
        </w:tc>
        <w:tc>
          <w:tcPr>
            <w:tcW w:w="1163" w:type="dxa"/>
            <w:tcBorders>
              <w:top w:val="single" w:sz="4" w:space="0" w:color="auto"/>
              <w:bottom w:val="single" w:sz="4" w:space="0" w:color="82858F" w:themeColor="accent2"/>
            </w:tcBorders>
            <w:noWrap/>
          </w:tcPr>
          <w:p w14:paraId="521922E4" w14:textId="77777777" w:rsidR="00510F78" w:rsidRPr="00E6041E" w:rsidRDefault="00510F78">
            <w:pPr>
              <w:spacing w:before="20" w:after="20"/>
              <w:jc w:val="right"/>
              <w:rPr>
                <w:rFonts w:cstheme="minorHAnsi"/>
                <w:sz w:val="19"/>
                <w:szCs w:val="19"/>
              </w:rPr>
            </w:pPr>
            <w:r w:rsidRPr="00E6041E">
              <w:rPr>
                <w:rFonts w:cstheme="minorHAnsi"/>
                <w:sz w:val="19"/>
                <w:szCs w:val="19"/>
              </w:rPr>
              <w:t>559</w:t>
            </w:r>
          </w:p>
        </w:tc>
        <w:tc>
          <w:tcPr>
            <w:tcW w:w="1162" w:type="dxa"/>
            <w:tcBorders>
              <w:top w:val="single" w:sz="4" w:space="0" w:color="auto"/>
              <w:bottom w:val="single" w:sz="4" w:space="0" w:color="82858F" w:themeColor="accent2"/>
            </w:tcBorders>
            <w:noWrap/>
          </w:tcPr>
          <w:p w14:paraId="295C62B7" w14:textId="77777777" w:rsidR="00510F78" w:rsidRPr="00E6041E" w:rsidRDefault="00510F78">
            <w:pPr>
              <w:spacing w:before="20" w:after="20"/>
              <w:jc w:val="right"/>
              <w:rPr>
                <w:rFonts w:cstheme="minorHAnsi"/>
                <w:sz w:val="19"/>
                <w:szCs w:val="19"/>
              </w:rPr>
            </w:pPr>
            <w:r w:rsidRPr="00E6041E">
              <w:rPr>
                <w:rFonts w:cstheme="minorHAnsi"/>
                <w:sz w:val="19"/>
                <w:szCs w:val="19"/>
              </w:rPr>
              <w:t>559</w:t>
            </w:r>
          </w:p>
        </w:tc>
        <w:tc>
          <w:tcPr>
            <w:tcW w:w="1163" w:type="dxa"/>
            <w:tcBorders>
              <w:top w:val="single" w:sz="4" w:space="0" w:color="auto"/>
              <w:bottom w:val="single" w:sz="4" w:space="0" w:color="82858F" w:themeColor="accent2"/>
            </w:tcBorders>
            <w:noWrap/>
          </w:tcPr>
          <w:p w14:paraId="5843D0CF" w14:textId="77777777" w:rsidR="00510F78" w:rsidRPr="00E6041E" w:rsidRDefault="00510F78">
            <w:pPr>
              <w:spacing w:before="20" w:after="20"/>
              <w:jc w:val="right"/>
              <w:rPr>
                <w:rFonts w:cstheme="minorHAnsi"/>
                <w:sz w:val="19"/>
                <w:szCs w:val="19"/>
              </w:rPr>
            </w:pPr>
            <w:r w:rsidRPr="00E6041E">
              <w:rPr>
                <w:rFonts w:cstheme="minorHAnsi"/>
                <w:sz w:val="19"/>
                <w:szCs w:val="19"/>
              </w:rPr>
              <w:t>559</w:t>
            </w:r>
          </w:p>
        </w:tc>
        <w:tc>
          <w:tcPr>
            <w:tcW w:w="1162" w:type="dxa"/>
            <w:tcBorders>
              <w:top w:val="single" w:sz="4" w:space="0" w:color="auto"/>
              <w:bottom w:val="single" w:sz="4" w:space="0" w:color="82858F" w:themeColor="accent2"/>
            </w:tcBorders>
            <w:noWrap/>
          </w:tcPr>
          <w:p w14:paraId="3CAE763B" w14:textId="77777777" w:rsidR="00510F78" w:rsidRPr="00E6041E" w:rsidRDefault="00510F78">
            <w:pPr>
              <w:spacing w:before="20" w:after="20"/>
              <w:jc w:val="right"/>
              <w:rPr>
                <w:rFonts w:cstheme="minorHAnsi"/>
                <w:sz w:val="19"/>
                <w:szCs w:val="19"/>
              </w:rPr>
            </w:pPr>
            <w:r w:rsidRPr="00E6041E">
              <w:rPr>
                <w:rFonts w:cstheme="minorHAnsi"/>
                <w:sz w:val="19"/>
                <w:szCs w:val="19"/>
              </w:rPr>
              <w:t>559</w:t>
            </w:r>
          </w:p>
        </w:tc>
        <w:tc>
          <w:tcPr>
            <w:tcW w:w="1162" w:type="dxa"/>
            <w:tcBorders>
              <w:top w:val="single" w:sz="4" w:space="0" w:color="auto"/>
              <w:bottom w:val="single" w:sz="4" w:space="0" w:color="82858F" w:themeColor="accent2"/>
            </w:tcBorders>
            <w:noWrap/>
          </w:tcPr>
          <w:p w14:paraId="0BFA97E5" w14:textId="77777777" w:rsidR="00510F78" w:rsidRPr="00E6041E" w:rsidRDefault="00510F78">
            <w:pPr>
              <w:spacing w:before="20" w:after="20"/>
              <w:jc w:val="right"/>
              <w:rPr>
                <w:rFonts w:cstheme="minorHAnsi"/>
                <w:sz w:val="19"/>
                <w:szCs w:val="19"/>
              </w:rPr>
            </w:pPr>
            <w:r w:rsidRPr="00E6041E">
              <w:rPr>
                <w:rFonts w:cstheme="minorHAnsi"/>
                <w:sz w:val="19"/>
                <w:szCs w:val="19"/>
              </w:rPr>
              <w:t>559</w:t>
            </w:r>
          </w:p>
        </w:tc>
        <w:tc>
          <w:tcPr>
            <w:tcW w:w="1163" w:type="dxa"/>
            <w:tcBorders>
              <w:top w:val="single" w:sz="4" w:space="0" w:color="auto"/>
              <w:bottom w:val="single" w:sz="4" w:space="0" w:color="82858F" w:themeColor="accent2"/>
            </w:tcBorders>
            <w:noWrap/>
          </w:tcPr>
          <w:p w14:paraId="27A1D33B" w14:textId="77777777" w:rsidR="00510F78" w:rsidRPr="00E6041E" w:rsidRDefault="00510F78">
            <w:pPr>
              <w:spacing w:before="20" w:after="20"/>
              <w:jc w:val="right"/>
              <w:rPr>
                <w:rFonts w:cstheme="minorHAnsi"/>
                <w:sz w:val="19"/>
                <w:szCs w:val="19"/>
              </w:rPr>
            </w:pPr>
            <w:r w:rsidRPr="00E6041E">
              <w:rPr>
                <w:rFonts w:cstheme="minorHAnsi"/>
                <w:sz w:val="19"/>
                <w:szCs w:val="19"/>
              </w:rPr>
              <w:t>559</w:t>
            </w:r>
          </w:p>
        </w:tc>
        <w:tc>
          <w:tcPr>
            <w:tcW w:w="1162" w:type="dxa"/>
            <w:tcBorders>
              <w:top w:val="single" w:sz="4" w:space="0" w:color="auto"/>
              <w:bottom w:val="single" w:sz="4" w:space="0" w:color="82858F" w:themeColor="accent2"/>
            </w:tcBorders>
            <w:noWrap/>
          </w:tcPr>
          <w:p w14:paraId="06314A44" w14:textId="77777777" w:rsidR="00510F78" w:rsidRPr="00E6041E" w:rsidRDefault="00510F78">
            <w:pPr>
              <w:spacing w:before="20" w:after="20"/>
              <w:jc w:val="right"/>
              <w:rPr>
                <w:rFonts w:cstheme="minorHAnsi"/>
                <w:sz w:val="19"/>
                <w:szCs w:val="19"/>
              </w:rPr>
            </w:pPr>
            <w:r w:rsidRPr="00E6041E">
              <w:rPr>
                <w:rFonts w:cstheme="minorHAnsi"/>
                <w:sz w:val="19"/>
                <w:szCs w:val="19"/>
              </w:rPr>
              <w:t>557</w:t>
            </w:r>
          </w:p>
        </w:tc>
        <w:tc>
          <w:tcPr>
            <w:tcW w:w="1163" w:type="dxa"/>
            <w:tcBorders>
              <w:top w:val="single" w:sz="4" w:space="0" w:color="auto"/>
              <w:bottom w:val="single" w:sz="4" w:space="0" w:color="82858F" w:themeColor="accent2"/>
            </w:tcBorders>
            <w:noWrap/>
          </w:tcPr>
          <w:p w14:paraId="2BFABF49" w14:textId="77777777" w:rsidR="00510F78" w:rsidRPr="00E6041E" w:rsidRDefault="00510F78">
            <w:pPr>
              <w:spacing w:before="20" w:after="20"/>
              <w:jc w:val="right"/>
              <w:rPr>
                <w:rFonts w:cstheme="minorHAnsi"/>
                <w:sz w:val="19"/>
                <w:szCs w:val="19"/>
              </w:rPr>
            </w:pPr>
            <w:r w:rsidRPr="00E6041E">
              <w:rPr>
                <w:rFonts w:cstheme="minorHAnsi"/>
                <w:sz w:val="19"/>
                <w:szCs w:val="19"/>
              </w:rPr>
              <w:t>559</w:t>
            </w:r>
          </w:p>
        </w:tc>
      </w:tr>
      <w:tr w:rsidR="00510F78" w:rsidRPr="00E6041E" w14:paraId="548D0809" w14:textId="77777777" w:rsidTr="4E0FE161">
        <w:trPr>
          <w:trHeight w:val="300"/>
        </w:trPr>
        <w:tc>
          <w:tcPr>
            <w:tcW w:w="1843" w:type="dxa"/>
            <w:tcBorders>
              <w:top w:val="single" w:sz="4" w:space="0" w:color="82858F" w:themeColor="accent2"/>
              <w:bottom w:val="single" w:sz="4" w:space="0" w:color="82858F" w:themeColor="accent2"/>
            </w:tcBorders>
            <w:noWrap/>
            <w:hideMark/>
          </w:tcPr>
          <w:p w14:paraId="230E0F0D" w14:textId="77777777" w:rsidR="00510F78" w:rsidRPr="00E6041E" w:rsidRDefault="00510F78">
            <w:pPr>
              <w:spacing w:before="20" w:after="20"/>
              <w:rPr>
                <w:rFonts w:cstheme="minorHAnsi"/>
                <w:b/>
                <w:sz w:val="19"/>
                <w:szCs w:val="19"/>
              </w:rPr>
            </w:pPr>
            <w:r w:rsidRPr="00E6041E">
              <w:rPr>
                <w:rFonts w:cstheme="minorHAnsi"/>
                <w:b/>
                <w:sz w:val="19"/>
                <w:szCs w:val="19"/>
              </w:rPr>
              <w:t>Total</w:t>
            </w:r>
          </w:p>
        </w:tc>
        <w:tc>
          <w:tcPr>
            <w:tcW w:w="992" w:type="dxa"/>
            <w:tcBorders>
              <w:top w:val="single" w:sz="4" w:space="0" w:color="82858F" w:themeColor="accent2"/>
              <w:bottom w:val="single" w:sz="4" w:space="0" w:color="82858F" w:themeColor="accent2"/>
            </w:tcBorders>
            <w:noWrap/>
            <w:hideMark/>
          </w:tcPr>
          <w:p w14:paraId="6D6437D7" w14:textId="77777777" w:rsidR="00510F78" w:rsidRPr="00E6041E" w:rsidRDefault="00510F78">
            <w:pPr>
              <w:spacing w:before="20" w:after="20"/>
              <w:rPr>
                <w:rFonts w:cstheme="minorHAnsi"/>
                <w:b/>
                <w:sz w:val="19"/>
                <w:szCs w:val="19"/>
              </w:rPr>
            </w:pPr>
            <w:r w:rsidRPr="00E6041E">
              <w:rPr>
                <w:rFonts w:cstheme="minorHAnsi"/>
                <w:b/>
                <w:sz w:val="19"/>
                <w:szCs w:val="19"/>
              </w:rPr>
              <w:t> </w:t>
            </w:r>
          </w:p>
        </w:tc>
        <w:tc>
          <w:tcPr>
            <w:tcW w:w="1162" w:type="dxa"/>
            <w:tcBorders>
              <w:top w:val="single" w:sz="4" w:space="0" w:color="82858F" w:themeColor="accent2"/>
              <w:bottom w:val="single" w:sz="4" w:space="0" w:color="82858F" w:themeColor="accent2"/>
            </w:tcBorders>
            <w:noWrap/>
          </w:tcPr>
          <w:p w14:paraId="38BF364E" w14:textId="77777777" w:rsidR="00510F78" w:rsidRPr="00E6041E" w:rsidRDefault="00510F78">
            <w:pPr>
              <w:spacing w:before="20" w:after="20"/>
              <w:jc w:val="right"/>
              <w:rPr>
                <w:rFonts w:cstheme="minorHAnsi"/>
                <w:b/>
                <w:sz w:val="19"/>
                <w:szCs w:val="19"/>
              </w:rPr>
            </w:pPr>
            <w:r w:rsidRPr="00E6041E">
              <w:rPr>
                <w:rFonts w:cstheme="minorHAnsi"/>
                <w:b/>
                <w:sz w:val="19"/>
                <w:szCs w:val="19"/>
              </w:rPr>
              <w:t>37,097</w:t>
            </w:r>
          </w:p>
        </w:tc>
        <w:tc>
          <w:tcPr>
            <w:tcW w:w="1162" w:type="dxa"/>
            <w:tcBorders>
              <w:top w:val="single" w:sz="4" w:space="0" w:color="82858F" w:themeColor="accent2"/>
              <w:bottom w:val="single" w:sz="4" w:space="0" w:color="82858F" w:themeColor="accent2"/>
            </w:tcBorders>
            <w:noWrap/>
          </w:tcPr>
          <w:p w14:paraId="1A932A47" w14:textId="77777777" w:rsidR="00510F78" w:rsidRPr="00E6041E" w:rsidRDefault="00510F78">
            <w:pPr>
              <w:spacing w:before="20" w:after="20"/>
              <w:jc w:val="right"/>
              <w:rPr>
                <w:rFonts w:cstheme="minorHAnsi"/>
                <w:b/>
                <w:sz w:val="19"/>
                <w:szCs w:val="19"/>
              </w:rPr>
            </w:pPr>
            <w:r w:rsidRPr="00E6041E">
              <w:rPr>
                <w:rFonts w:cstheme="minorHAnsi"/>
                <w:b/>
                <w:sz w:val="19"/>
                <w:szCs w:val="19"/>
              </w:rPr>
              <w:t>42,579</w:t>
            </w:r>
          </w:p>
        </w:tc>
        <w:tc>
          <w:tcPr>
            <w:tcW w:w="1163" w:type="dxa"/>
            <w:tcBorders>
              <w:top w:val="single" w:sz="4" w:space="0" w:color="82858F" w:themeColor="accent2"/>
              <w:bottom w:val="single" w:sz="4" w:space="0" w:color="82858F" w:themeColor="accent2"/>
            </w:tcBorders>
            <w:noWrap/>
          </w:tcPr>
          <w:p w14:paraId="1AC99467" w14:textId="77777777" w:rsidR="00510F78" w:rsidRPr="00E6041E" w:rsidRDefault="00510F78">
            <w:pPr>
              <w:spacing w:before="20" w:after="20"/>
              <w:jc w:val="right"/>
              <w:rPr>
                <w:rFonts w:cstheme="minorHAnsi"/>
                <w:b/>
                <w:sz w:val="19"/>
                <w:szCs w:val="19"/>
              </w:rPr>
            </w:pPr>
            <w:r w:rsidRPr="00E6041E">
              <w:rPr>
                <w:rFonts w:cstheme="minorHAnsi"/>
                <w:b/>
                <w:sz w:val="19"/>
                <w:szCs w:val="19"/>
              </w:rPr>
              <w:t>47,164</w:t>
            </w:r>
          </w:p>
        </w:tc>
        <w:tc>
          <w:tcPr>
            <w:tcW w:w="1162" w:type="dxa"/>
            <w:tcBorders>
              <w:top w:val="single" w:sz="4" w:space="0" w:color="82858F" w:themeColor="accent2"/>
              <w:bottom w:val="single" w:sz="4" w:space="0" w:color="82858F" w:themeColor="accent2"/>
            </w:tcBorders>
            <w:noWrap/>
          </w:tcPr>
          <w:p w14:paraId="424EE625" w14:textId="77777777" w:rsidR="00510F78" w:rsidRPr="00E6041E" w:rsidRDefault="00510F78">
            <w:pPr>
              <w:spacing w:before="20" w:after="20"/>
              <w:jc w:val="right"/>
              <w:rPr>
                <w:rFonts w:cstheme="minorHAnsi"/>
                <w:b/>
                <w:sz w:val="19"/>
                <w:szCs w:val="19"/>
              </w:rPr>
            </w:pPr>
            <w:r w:rsidRPr="00E6041E">
              <w:rPr>
                <w:rFonts w:cstheme="minorHAnsi"/>
                <w:b/>
                <w:sz w:val="19"/>
                <w:szCs w:val="19"/>
              </w:rPr>
              <w:t>48,375</w:t>
            </w:r>
          </w:p>
        </w:tc>
        <w:tc>
          <w:tcPr>
            <w:tcW w:w="1163" w:type="dxa"/>
            <w:tcBorders>
              <w:top w:val="single" w:sz="4" w:space="0" w:color="82858F" w:themeColor="accent2"/>
              <w:bottom w:val="single" w:sz="4" w:space="0" w:color="82858F" w:themeColor="accent2"/>
            </w:tcBorders>
            <w:noWrap/>
          </w:tcPr>
          <w:p w14:paraId="67DFF228" w14:textId="77777777" w:rsidR="00510F78" w:rsidRPr="00E6041E" w:rsidRDefault="00510F78">
            <w:pPr>
              <w:spacing w:before="20" w:after="20"/>
              <w:jc w:val="right"/>
              <w:rPr>
                <w:rFonts w:cstheme="minorHAnsi"/>
                <w:b/>
                <w:sz w:val="19"/>
                <w:szCs w:val="19"/>
              </w:rPr>
            </w:pPr>
            <w:r w:rsidRPr="00E6041E">
              <w:rPr>
                <w:rFonts w:cstheme="minorHAnsi"/>
                <w:b/>
                <w:sz w:val="19"/>
                <w:szCs w:val="19"/>
              </w:rPr>
              <w:t>46,434</w:t>
            </w:r>
          </w:p>
        </w:tc>
        <w:tc>
          <w:tcPr>
            <w:tcW w:w="1162" w:type="dxa"/>
            <w:tcBorders>
              <w:top w:val="single" w:sz="4" w:space="0" w:color="82858F" w:themeColor="accent2"/>
              <w:bottom w:val="single" w:sz="4" w:space="0" w:color="82858F" w:themeColor="accent2"/>
            </w:tcBorders>
            <w:noWrap/>
          </w:tcPr>
          <w:p w14:paraId="1559C4C5" w14:textId="77777777" w:rsidR="00510F78" w:rsidRPr="00E6041E" w:rsidRDefault="00510F78">
            <w:pPr>
              <w:spacing w:before="20" w:after="20"/>
              <w:jc w:val="right"/>
              <w:rPr>
                <w:rFonts w:cstheme="minorHAnsi"/>
                <w:b/>
                <w:sz w:val="19"/>
                <w:szCs w:val="19"/>
              </w:rPr>
            </w:pPr>
            <w:r w:rsidRPr="00E6041E">
              <w:rPr>
                <w:rFonts w:cstheme="minorHAnsi"/>
                <w:b/>
                <w:sz w:val="19"/>
                <w:szCs w:val="19"/>
              </w:rPr>
              <w:t>48,775</w:t>
            </w:r>
          </w:p>
        </w:tc>
        <w:tc>
          <w:tcPr>
            <w:tcW w:w="1162" w:type="dxa"/>
            <w:tcBorders>
              <w:top w:val="single" w:sz="4" w:space="0" w:color="82858F" w:themeColor="accent2"/>
              <w:bottom w:val="single" w:sz="4" w:space="0" w:color="82858F" w:themeColor="accent2"/>
            </w:tcBorders>
            <w:noWrap/>
          </w:tcPr>
          <w:p w14:paraId="2FDE840C" w14:textId="77777777" w:rsidR="00510F78" w:rsidRPr="00E6041E" w:rsidRDefault="00510F78">
            <w:pPr>
              <w:spacing w:before="20" w:after="20"/>
              <w:jc w:val="right"/>
              <w:rPr>
                <w:rFonts w:cstheme="minorHAnsi"/>
                <w:b/>
                <w:sz w:val="19"/>
                <w:szCs w:val="19"/>
              </w:rPr>
            </w:pPr>
            <w:r w:rsidRPr="00E6041E">
              <w:rPr>
                <w:rFonts w:cstheme="minorHAnsi"/>
                <w:b/>
                <w:sz w:val="19"/>
                <w:szCs w:val="19"/>
              </w:rPr>
              <w:t>49,936</w:t>
            </w:r>
          </w:p>
        </w:tc>
        <w:tc>
          <w:tcPr>
            <w:tcW w:w="1163" w:type="dxa"/>
            <w:tcBorders>
              <w:top w:val="single" w:sz="4" w:space="0" w:color="82858F" w:themeColor="accent2"/>
              <w:bottom w:val="single" w:sz="4" w:space="0" w:color="82858F" w:themeColor="accent2"/>
            </w:tcBorders>
            <w:noWrap/>
          </w:tcPr>
          <w:p w14:paraId="067C88F8" w14:textId="77777777" w:rsidR="00510F78" w:rsidRPr="00E6041E" w:rsidRDefault="00510F78">
            <w:pPr>
              <w:spacing w:before="20" w:after="20"/>
              <w:jc w:val="right"/>
              <w:rPr>
                <w:rFonts w:cstheme="minorHAnsi"/>
                <w:b/>
                <w:sz w:val="19"/>
                <w:szCs w:val="19"/>
              </w:rPr>
            </w:pPr>
            <w:r w:rsidRPr="00E6041E">
              <w:rPr>
                <w:rFonts w:cstheme="minorHAnsi"/>
                <w:b/>
                <w:sz w:val="19"/>
                <w:szCs w:val="19"/>
              </w:rPr>
              <w:t>50,817</w:t>
            </w:r>
          </w:p>
        </w:tc>
        <w:tc>
          <w:tcPr>
            <w:tcW w:w="1162" w:type="dxa"/>
            <w:tcBorders>
              <w:top w:val="single" w:sz="4" w:space="0" w:color="82858F" w:themeColor="accent2"/>
              <w:bottom w:val="single" w:sz="4" w:space="0" w:color="82858F" w:themeColor="accent2"/>
            </w:tcBorders>
            <w:noWrap/>
          </w:tcPr>
          <w:p w14:paraId="729F45F1" w14:textId="77777777" w:rsidR="00510F78" w:rsidRPr="00E6041E" w:rsidRDefault="00510F78">
            <w:pPr>
              <w:spacing w:before="20" w:after="20"/>
              <w:jc w:val="right"/>
              <w:rPr>
                <w:rFonts w:cstheme="minorHAnsi"/>
                <w:b/>
                <w:sz w:val="19"/>
                <w:szCs w:val="19"/>
              </w:rPr>
            </w:pPr>
            <w:r w:rsidRPr="00E6041E">
              <w:rPr>
                <w:rFonts w:cstheme="minorHAnsi"/>
                <w:b/>
                <w:sz w:val="19"/>
                <w:szCs w:val="19"/>
              </w:rPr>
              <w:t>51,696</w:t>
            </w:r>
          </w:p>
        </w:tc>
        <w:tc>
          <w:tcPr>
            <w:tcW w:w="1163" w:type="dxa"/>
            <w:tcBorders>
              <w:top w:val="single" w:sz="4" w:space="0" w:color="82858F" w:themeColor="accent2"/>
              <w:bottom w:val="single" w:sz="4" w:space="0" w:color="82858F" w:themeColor="accent2"/>
            </w:tcBorders>
            <w:noWrap/>
          </w:tcPr>
          <w:p w14:paraId="634B2310" w14:textId="77777777" w:rsidR="00510F78" w:rsidRPr="00E6041E" w:rsidRDefault="00510F78">
            <w:pPr>
              <w:spacing w:before="20" w:after="20"/>
              <w:jc w:val="right"/>
              <w:rPr>
                <w:rFonts w:cstheme="minorHAnsi"/>
                <w:b/>
                <w:sz w:val="19"/>
                <w:szCs w:val="19"/>
              </w:rPr>
            </w:pPr>
            <w:r w:rsidRPr="00E6041E">
              <w:rPr>
                <w:rFonts w:cstheme="minorHAnsi"/>
                <w:b/>
                <w:sz w:val="19"/>
                <w:szCs w:val="19"/>
              </w:rPr>
              <w:t>52,779</w:t>
            </w:r>
          </w:p>
        </w:tc>
      </w:tr>
    </w:tbl>
    <w:p w14:paraId="1D086ED1" w14:textId="77777777" w:rsidR="005D0604" w:rsidRPr="00E6041E" w:rsidRDefault="005D0604" w:rsidP="005D0604">
      <w:pPr>
        <w:pStyle w:val="TableHeading"/>
        <w:rPr>
          <w:rFonts w:asciiTheme="minorHAnsi" w:hAnsiTheme="minorHAnsi" w:cstheme="minorHAnsi"/>
        </w:rPr>
      </w:pPr>
    </w:p>
    <w:p w14:paraId="1E527A8D" w14:textId="77777777" w:rsidR="005D0604" w:rsidRPr="00E6041E" w:rsidRDefault="005D0604" w:rsidP="005D0604">
      <w:pPr>
        <w:pStyle w:val="TableHeading"/>
        <w:rPr>
          <w:rFonts w:asciiTheme="minorHAnsi" w:hAnsiTheme="minorHAnsi" w:cstheme="minorHAnsi"/>
        </w:rPr>
      </w:pPr>
    </w:p>
    <w:p w14:paraId="37B4508F" w14:textId="77777777" w:rsidR="005D0604" w:rsidRPr="00E6041E" w:rsidRDefault="005D0604" w:rsidP="005D0604">
      <w:pPr>
        <w:pStyle w:val="TableHeading"/>
        <w:rPr>
          <w:rFonts w:asciiTheme="minorHAnsi" w:hAnsiTheme="minorHAnsi" w:cstheme="minorHAnsi"/>
        </w:rPr>
      </w:pPr>
    </w:p>
    <w:p w14:paraId="3F36CC99" w14:textId="77777777" w:rsidR="007B55AD" w:rsidRPr="00E6041E" w:rsidRDefault="007B55AD" w:rsidP="4E0FE161">
      <w:pPr>
        <w:pStyle w:val="TableHeading"/>
        <w:rPr>
          <w:rFonts w:asciiTheme="minorHAnsi" w:hAnsiTheme="minorHAnsi" w:cstheme="minorHAnsi"/>
          <w:sz w:val="24"/>
          <w:szCs w:val="24"/>
        </w:rPr>
      </w:pPr>
      <w:r w:rsidRPr="00E6041E">
        <w:rPr>
          <w:rFonts w:asciiTheme="minorHAnsi" w:hAnsiTheme="minorHAnsi" w:cstheme="minorHAnsi"/>
          <w:sz w:val="24"/>
          <w:szCs w:val="24"/>
        </w:rPr>
        <w:t xml:space="preserve">Capital Expenditure </w:t>
      </w:r>
    </w:p>
    <w:tbl>
      <w:tblPr>
        <w:tblW w:w="14460" w:type="dxa"/>
        <w:tblLayout w:type="fixed"/>
        <w:tblLook w:val="04A0" w:firstRow="1" w:lastRow="0" w:firstColumn="1" w:lastColumn="0" w:noHBand="0" w:noVBand="1"/>
      </w:tblPr>
      <w:tblGrid>
        <w:gridCol w:w="1843"/>
        <w:gridCol w:w="1134"/>
        <w:gridCol w:w="1276"/>
        <w:gridCol w:w="1134"/>
        <w:gridCol w:w="1134"/>
        <w:gridCol w:w="1134"/>
        <w:gridCol w:w="1134"/>
        <w:gridCol w:w="1134"/>
        <w:gridCol w:w="1134"/>
        <w:gridCol w:w="1134"/>
        <w:gridCol w:w="1134"/>
        <w:gridCol w:w="1135"/>
      </w:tblGrid>
      <w:tr w:rsidR="007B55AD" w:rsidRPr="00E6041E" w14:paraId="59D1F912" w14:textId="77777777" w:rsidTr="00E563CC">
        <w:trPr>
          <w:trHeight w:val="300"/>
        </w:trPr>
        <w:tc>
          <w:tcPr>
            <w:tcW w:w="1843" w:type="dxa"/>
            <w:shd w:val="clear" w:color="auto" w:fill="FFDE00" w:themeFill="accent1"/>
            <w:noWrap/>
            <w:hideMark/>
          </w:tcPr>
          <w:p w14:paraId="3453CDB1"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Activity Component Name</w:t>
            </w:r>
          </w:p>
        </w:tc>
        <w:tc>
          <w:tcPr>
            <w:tcW w:w="1134" w:type="dxa"/>
            <w:shd w:val="clear" w:color="auto" w:fill="FFDE00" w:themeFill="accent1"/>
          </w:tcPr>
          <w:p w14:paraId="0E06DD6A"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sz w:val="18"/>
                <w:szCs w:val="18"/>
              </w:rPr>
              <w:t>2024/25 Published budget</w:t>
            </w:r>
          </w:p>
        </w:tc>
        <w:tc>
          <w:tcPr>
            <w:tcW w:w="1276" w:type="dxa"/>
            <w:shd w:val="clear" w:color="auto" w:fill="FFDE00" w:themeFill="accent1"/>
            <w:noWrap/>
            <w:hideMark/>
          </w:tcPr>
          <w:p w14:paraId="3868E461"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sz w:val="18"/>
                <w:szCs w:val="18"/>
              </w:rPr>
              <w:t>2024/25 Amendment budget</w:t>
            </w:r>
          </w:p>
        </w:tc>
        <w:tc>
          <w:tcPr>
            <w:tcW w:w="1134" w:type="dxa"/>
            <w:shd w:val="clear" w:color="auto" w:fill="FFDE00" w:themeFill="accent1"/>
            <w:noWrap/>
            <w:hideMark/>
          </w:tcPr>
          <w:p w14:paraId="2B0E31E9"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2025/26</w:t>
            </w:r>
          </w:p>
        </w:tc>
        <w:tc>
          <w:tcPr>
            <w:tcW w:w="1134" w:type="dxa"/>
            <w:shd w:val="clear" w:color="auto" w:fill="FFDE00" w:themeFill="accent1"/>
            <w:noWrap/>
            <w:hideMark/>
          </w:tcPr>
          <w:p w14:paraId="5A9D74DC"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2026/27</w:t>
            </w:r>
          </w:p>
        </w:tc>
        <w:tc>
          <w:tcPr>
            <w:tcW w:w="1134" w:type="dxa"/>
            <w:shd w:val="clear" w:color="auto" w:fill="FFDE00" w:themeFill="accent1"/>
            <w:noWrap/>
            <w:hideMark/>
          </w:tcPr>
          <w:p w14:paraId="6599051F"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2027/28</w:t>
            </w:r>
          </w:p>
        </w:tc>
        <w:tc>
          <w:tcPr>
            <w:tcW w:w="1134" w:type="dxa"/>
            <w:shd w:val="clear" w:color="auto" w:fill="FFDE00" w:themeFill="accent1"/>
            <w:noWrap/>
            <w:hideMark/>
          </w:tcPr>
          <w:p w14:paraId="3A665100"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2028/29</w:t>
            </w:r>
          </w:p>
        </w:tc>
        <w:tc>
          <w:tcPr>
            <w:tcW w:w="1134" w:type="dxa"/>
            <w:shd w:val="clear" w:color="auto" w:fill="FFDE00" w:themeFill="accent1"/>
            <w:noWrap/>
            <w:hideMark/>
          </w:tcPr>
          <w:p w14:paraId="023E4592"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2029/30</w:t>
            </w:r>
          </w:p>
        </w:tc>
        <w:tc>
          <w:tcPr>
            <w:tcW w:w="1134" w:type="dxa"/>
            <w:shd w:val="clear" w:color="auto" w:fill="FFDE00" w:themeFill="accent1"/>
            <w:noWrap/>
            <w:hideMark/>
          </w:tcPr>
          <w:p w14:paraId="29FF99FA"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2030/31</w:t>
            </w:r>
          </w:p>
        </w:tc>
        <w:tc>
          <w:tcPr>
            <w:tcW w:w="1134" w:type="dxa"/>
            <w:shd w:val="clear" w:color="auto" w:fill="FFDE00" w:themeFill="accent1"/>
            <w:noWrap/>
            <w:hideMark/>
          </w:tcPr>
          <w:p w14:paraId="4DC2DE8B"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2031/32</w:t>
            </w:r>
          </w:p>
        </w:tc>
        <w:tc>
          <w:tcPr>
            <w:tcW w:w="1134" w:type="dxa"/>
            <w:shd w:val="clear" w:color="auto" w:fill="FFDE00" w:themeFill="accent1"/>
            <w:noWrap/>
            <w:hideMark/>
          </w:tcPr>
          <w:p w14:paraId="47E0595B"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2032/33</w:t>
            </w:r>
          </w:p>
        </w:tc>
        <w:tc>
          <w:tcPr>
            <w:tcW w:w="1135" w:type="dxa"/>
            <w:shd w:val="clear" w:color="auto" w:fill="FFDE00" w:themeFill="accent1"/>
            <w:noWrap/>
            <w:hideMark/>
          </w:tcPr>
          <w:p w14:paraId="04D0D041" w14:textId="77777777" w:rsidR="007B55AD" w:rsidRPr="00E6041E" w:rsidRDefault="007B55AD">
            <w:pPr>
              <w:pStyle w:val="Tableheading0"/>
              <w:rPr>
                <w:rFonts w:asciiTheme="minorHAnsi" w:hAnsiTheme="minorHAnsi" w:cstheme="minorHAnsi"/>
              </w:rPr>
            </w:pPr>
            <w:r w:rsidRPr="00E6041E">
              <w:rPr>
                <w:rFonts w:asciiTheme="minorHAnsi" w:hAnsiTheme="minorHAnsi" w:cstheme="minorHAnsi"/>
              </w:rPr>
              <w:t>2033/34</w:t>
            </w:r>
          </w:p>
        </w:tc>
      </w:tr>
      <w:tr w:rsidR="007B55AD" w:rsidRPr="00E6041E" w14:paraId="0EEE7358" w14:textId="77777777" w:rsidTr="00066C16">
        <w:trPr>
          <w:trHeight w:val="300"/>
        </w:trPr>
        <w:tc>
          <w:tcPr>
            <w:tcW w:w="1843" w:type="dxa"/>
            <w:tcBorders>
              <w:bottom w:val="single" w:sz="4" w:space="0" w:color="auto"/>
            </w:tcBorders>
            <w:shd w:val="clear" w:color="auto" w:fill="E5E6E8" w:themeFill="accent2" w:themeFillTint="33"/>
            <w:noWrap/>
            <w:hideMark/>
          </w:tcPr>
          <w:p w14:paraId="674D0EDD" w14:textId="77777777" w:rsidR="007B55AD" w:rsidRPr="00E6041E" w:rsidRDefault="007B55AD">
            <w:pPr>
              <w:pStyle w:val="Tablebody0"/>
              <w:spacing w:before="20" w:after="20"/>
              <w:rPr>
                <w:rFonts w:asciiTheme="minorHAnsi" w:hAnsiTheme="minorHAnsi" w:cstheme="minorHAnsi"/>
                <w:sz w:val="19"/>
                <w:szCs w:val="19"/>
              </w:rPr>
            </w:pPr>
            <w:r w:rsidRPr="00E6041E">
              <w:rPr>
                <w:rFonts w:asciiTheme="minorHAnsi" w:hAnsiTheme="minorHAnsi" w:cstheme="minorHAnsi"/>
                <w:sz w:val="19"/>
                <w:szCs w:val="19"/>
              </w:rPr>
              <w:t>3.1.1 WellingtonNZ and Venues Wellington</w:t>
            </w:r>
          </w:p>
        </w:tc>
        <w:tc>
          <w:tcPr>
            <w:tcW w:w="1134" w:type="dxa"/>
            <w:tcBorders>
              <w:bottom w:val="single" w:sz="4" w:space="0" w:color="auto"/>
            </w:tcBorders>
          </w:tcPr>
          <w:p w14:paraId="124020A2"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276" w:type="dxa"/>
            <w:tcBorders>
              <w:bottom w:val="single" w:sz="4" w:space="0" w:color="auto"/>
            </w:tcBorders>
            <w:noWrap/>
          </w:tcPr>
          <w:p w14:paraId="4130B35B"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134" w:type="dxa"/>
            <w:tcBorders>
              <w:bottom w:val="single" w:sz="4" w:space="0" w:color="auto"/>
            </w:tcBorders>
            <w:noWrap/>
          </w:tcPr>
          <w:p w14:paraId="045D6EFF"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134" w:type="dxa"/>
            <w:tcBorders>
              <w:bottom w:val="single" w:sz="4" w:space="0" w:color="auto"/>
            </w:tcBorders>
            <w:noWrap/>
          </w:tcPr>
          <w:p w14:paraId="0F77E450"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134" w:type="dxa"/>
            <w:tcBorders>
              <w:bottom w:val="single" w:sz="4" w:space="0" w:color="auto"/>
            </w:tcBorders>
            <w:noWrap/>
          </w:tcPr>
          <w:p w14:paraId="057E82F8"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134" w:type="dxa"/>
            <w:tcBorders>
              <w:bottom w:val="single" w:sz="4" w:space="0" w:color="auto"/>
            </w:tcBorders>
            <w:noWrap/>
          </w:tcPr>
          <w:p w14:paraId="61731685"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134" w:type="dxa"/>
            <w:tcBorders>
              <w:bottom w:val="single" w:sz="4" w:space="0" w:color="auto"/>
            </w:tcBorders>
            <w:noWrap/>
          </w:tcPr>
          <w:p w14:paraId="1733CF86"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134" w:type="dxa"/>
            <w:tcBorders>
              <w:bottom w:val="single" w:sz="4" w:space="0" w:color="auto"/>
            </w:tcBorders>
            <w:noWrap/>
          </w:tcPr>
          <w:p w14:paraId="39AD0E0A"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134" w:type="dxa"/>
            <w:tcBorders>
              <w:bottom w:val="single" w:sz="4" w:space="0" w:color="auto"/>
            </w:tcBorders>
            <w:noWrap/>
          </w:tcPr>
          <w:p w14:paraId="3F005E9D"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134" w:type="dxa"/>
            <w:tcBorders>
              <w:bottom w:val="single" w:sz="4" w:space="0" w:color="auto"/>
            </w:tcBorders>
            <w:noWrap/>
          </w:tcPr>
          <w:p w14:paraId="0C3A83BB"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c>
          <w:tcPr>
            <w:tcW w:w="1135" w:type="dxa"/>
            <w:tcBorders>
              <w:bottom w:val="single" w:sz="4" w:space="0" w:color="auto"/>
            </w:tcBorders>
            <w:noWrap/>
          </w:tcPr>
          <w:p w14:paraId="3BDC567B"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0</w:t>
            </w:r>
          </w:p>
        </w:tc>
      </w:tr>
      <w:tr w:rsidR="007B55AD" w:rsidRPr="00E6041E" w14:paraId="0A8A8999" w14:textId="77777777" w:rsidTr="00066C16">
        <w:trPr>
          <w:trHeight w:val="300"/>
        </w:trPr>
        <w:tc>
          <w:tcPr>
            <w:tcW w:w="1843" w:type="dxa"/>
            <w:tcBorders>
              <w:top w:val="single" w:sz="4" w:space="0" w:color="auto"/>
              <w:bottom w:val="single" w:sz="4" w:space="0" w:color="82858F" w:themeColor="accent2"/>
            </w:tcBorders>
            <w:shd w:val="clear" w:color="auto" w:fill="E5E6E8" w:themeFill="accent2" w:themeFillTint="33"/>
            <w:noWrap/>
            <w:hideMark/>
          </w:tcPr>
          <w:p w14:paraId="6CCBB575" w14:textId="77777777" w:rsidR="007B55AD" w:rsidRPr="00E6041E" w:rsidRDefault="007B55AD">
            <w:pPr>
              <w:pStyle w:val="Tablebody0"/>
              <w:spacing w:before="20" w:after="20"/>
              <w:rPr>
                <w:rFonts w:asciiTheme="minorHAnsi" w:hAnsiTheme="minorHAnsi" w:cstheme="minorHAnsi"/>
                <w:sz w:val="19"/>
                <w:szCs w:val="19"/>
              </w:rPr>
            </w:pPr>
            <w:r w:rsidRPr="00E6041E">
              <w:rPr>
                <w:rFonts w:asciiTheme="minorHAnsi" w:hAnsiTheme="minorHAnsi" w:cstheme="minorHAnsi"/>
                <w:sz w:val="19"/>
                <w:szCs w:val="19"/>
              </w:rPr>
              <w:t>3.1.2 Tākina Wellington Convention &amp; Exhibition Centre</w:t>
            </w:r>
          </w:p>
        </w:tc>
        <w:tc>
          <w:tcPr>
            <w:tcW w:w="1134" w:type="dxa"/>
            <w:tcBorders>
              <w:top w:val="single" w:sz="4" w:space="0" w:color="auto"/>
              <w:bottom w:val="single" w:sz="4" w:space="0" w:color="82858F" w:themeColor="accent2"/>
            </w:tcBorders>
          </w:tcPr>
          <w:p w14:paraId="5DFD3613"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4,704</w:t>
            </w:r>
          </w:p>
        </w:tc>
        <w:tc>
          <w:tcPr>
            <w:tcW w:w="1276" w:type="dxa"/>
            <w:tcBorders>
              <w:top w:val="single" w:sz="4" w:space="0" w:color="auto"/>
              <w:bottom w:val="single" w:sz="4" w:space="0" w:color="82858F" w:themeColor="accent2"/>
            </w:tcBorders>
            <w:noWrap/>
          </w:tcPr>
          <w:p w14:paraId="56105862"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2,577</w:t>
            </w:r>
          </w:p>
        </w:tc>
        <w:tc>
          <w:tcPr>
            <w:tcW w:w="1134" w:type="dxa"/>
            <w:tcBorders>
              <w:top w:val="single" w:sz="4" w:space="0" w:color="auto"/>
              <w:bottom w:val="single" w:sz="4" w:space="0" w:color="82858F" w:themeColor="accent2"/>
            </w:tcBorders>
            <w:noWrap/>
          </w:tcPr>
          <w:p w14:paraId="4C1B8D81"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5,015</w:t>
            </w:r>
          </w:p>
        </w:tc>
        <w:tc>
          <w:tcPr>
            <w:tcW w:w="1134" w:type="dxa"/>
            <w:tcBorders>
              <w:top w:val="single" w:sz="4" w:space="0" w:color="auto"/>
              <w:bottom w:val="single" w:sz="4" w:space="0" w:color="82858F" w:themeColor="accent2"/>
            </w:tcBorders>
            <w:noWrap/>
          </w:tcPr>
          <w:p w14:paraId="581068E6"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2,181</w:t>
            </w:r>
          </w:p>
        </w:tc>
        <w:tc>
          <w:tcPr>
            <w:tcW w:w="1134" w:type="dxa"/>
            <w:tcBorders>
              <w:top w:val="single" w:sz="4" w:space="0" w:color="auto"/>
              <w:bottom w:val="single" w:sz="4" w:space="0" w:color="82858F" w:themeColor="accent2"/>
            </w:tcBorders>
            <w:noWrap/>
          </w:tcPr>
          <w:p w14:paraId="089533FF"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5,753</w:t>
            </w:r>
          </w:p>
        </w:tc>
        <w:tc>
          <w:tcPr>
            <w:tcW w:w="1134" w:type="dxa"/>
            <w:tcBorders>
              <w:top w:val="single" w:sz="4" w:space="0" w:color="auto"/>
              <w:bottom w:val="single" w:sz="4" w:space="0" w:color="82858F" w:themeColor="accent2"/>
            </w:tcBorders>
            <w:noWrap/>
          </w:tcPr>
          <w:p w14:paraId="5EF87B73"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6,077</w:t>
            </w:r>
          </w:p>
        </w:tc>
        <w:tc>
          <w:tcPr>
            <w:tcW w:w="1134" w:type="dxa"/>
            <w:tcBorders>
              <w:top w:val="single" w:sz="4" w:space="0" w:color="auto"/>
              <w:bottom w:val="single" w:sz="4" w:space="0" w:color="82858F" w:themeColor="accent2"/>
            </w:tcBorders>
            <w:noWrap/>
          </w:tcPr>
          <w:p w14:paraId="7DA4E55B"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4,595</w:t>
            </w:r>
          </w:p>
        </w:tc>
        <w:tc>
          <w:tcPr>
            <w:tcW w:w="1134" w:type="dxa"/>
            <w:tcBorders>
              <w:top w:val="single" w:sz="4" w:space="0" w:color="auto"/>
              <w:bottom w:val="single" w:sz="4" w:space="0" w:color="82858F" w:themeColor="accent2"/>
            </w:tcBorders>
            <w:noWrap/>
          </w:tcPr>
          <w:p w14:paraId="39FFDA8E"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1,169</w:t>
            </w:r>
          </w:p>
        </w:tc>
        <w:tc>
          <w:tcPr>
            <w:tcW w:w="1134" w:type="dxa"/>
            <w:tcBorders>
              <w:top w:val="single" w:sz="4" w:space="0" w:color="auto"/>
              <w:bottom w:val="single" w:sz="4" w:space="0" w:color="82858F" w:themeColor="accent2"/>
            </w:tcBorders>
            <w:noWrap/>
          </w:tcPr>
          <w:p w14:paraId="2770553A"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2,970</w:t>
            </w:r>
          </w:p>
        </w:tc>
        <w:tc>
          <w:tcPr>
            <w:tcW w:w="1134" w:type="dxa"/>
            <w:tcBorders>
              <w:top w:val="single" w:sz="4" w:space="0" w:color="auto"/>
              <w:bottom w:val="single" w:sz="4" w:space="0" w:color="82858F" w:themeColor="accent2"/>
            </w:tcBorders>
            <w:noWrap/>
          </w:tcPr>
          <w:p w14:paraId="1B824B2B"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7,143</w:t>
            </w:r>
          </w:p>
        </w:tc>
        <w:tc>
          <w:tcPr>
            <w:tcW w:w="1135" w:type="dxa"/>
            <w:tcBorders>
              <w:top w:val="single" w:sz="4" w:space="0" w:color="auto"/>
              <w:bottom w:val="single" w:sz="4" w:space="0" w:color="82858F" w:themeColor="accent2"/>
            </w:tcBorders>
            <w:noWrap/>
          </w:tcPr>
          <w:p w14:paraId="708A73D4" w14:textId="77777777" w:rsidR="007B55AD" w:rsidRPr="00E6041E" w:rsidRDefault="007B55AD">
            <w:pPr>
              <w:pStyle w:val="Tablebody0"/>
              <w:spacing w:before="20" w:after="20"/>
              <w:jc w:val="right"/>
              <w:rPr>
                <w:rFonts w:asciiTheme="minorHAnsi" w:hAnsiTheme="minorHAnsi" w:cstheme="minorHAnsi"/>
                <w:sz w:val="19"/>
                <w:szCs w:val="19"/>
              </w:rPr>
            </w:pPr>
            <w:r w:rsidRPr="00E6041E">
              <w:rPr>
                <w:rFonts w:asciiTheme="minorHAnsi" w:hAnsiTheme="minorHAnsi" w:cstheme="minorHAnsi"/>
                <w:sz w:val="19"/>
                <w:szCs w:val="19"/>
              </w:rPr>
              <w:t>4,083</w:t>
            </w:r>
          </w:p>
        </w:tc>
      </w:tr>
      <w:tr w:rsidR="007B55AD" w:rsidRPr="00E6041E" w14:paraId="345D42CA" w14:textId="77777777" w:rsidTr="4E0FE161">
        <w:trPr>
          <w:trHeight w:val="300"/>
        </w:trPr>
        <w:tc>
          <w:tcPr>
            <w:tcW w:w="1843" w:type="dxa"/>
            <w:tcBorders>
              <w:top w:val="single" w:sz="4" w:space="0" w:color="82858F" w:themeColor="accent2"/>
              <w:bottom w:val="single" w:sz="4" w:space="0" w:color="82858F" w:themeColor="accent2"/>
            </w:tcBorders>
            <w:noWrap/>
            <w:hideMark/>
          </w:tcPr>
          <w:p w14:paraId="7FCD768A" w14:textId="77777777" w:rsidR="007B55AD" w:rsidRPr="00E6041E" w:rsidRDefault="007B55AD">
            <w:pPr>
              <w:pStyle w:val="Tablebody0"/>
              <w:spacing w:before="20" w:after="20"/>
              <w:rPr>
                <w:rFonts w:asciiTheme="minorHAnsi" w:hAnsiTheme="minorHAnsi" w:cstheme="minorHAnsi"/>
                <w:b/>
                <w:bCs w:val="0"/>
                <w:sz w:val="19"/>
                <w:szCs w:val="19"/>
              </w:rPr>
            </w:pPr>
            <w:r w:rsidRPr="00E6041E">
              <w:rPr>
                <w:rFonts w:asciiTheme="minorHAnsi" w:hAnsiTheme="minorHAnsi" w:cstheme="minorHAnsi"/>
                <w:b/>
                <w:bCs w:val="0"/>
                <w:sz w:val="19"/>
                <w:szCs w:val="19"/>
              </w:rPr>
              <w:t>Total</w:t>
            </w:r>
          </w:p>
        </w:tc>
        <w:tc>
          <w:tcPr>
            <w:tcW w:w="1134" w:type="dxa"/>
            <w:tcBorders>
              <w:top w:val="single" w:sz="4" w:space="0" w:color="82858F" w:themeColor="accent2"/>
              <w:bottom w:val="single" w:sz="4" w:space="0" w:color="82858F" w:themeColor="accent2"/>
            </w:tcBorders>
          </w:tcPr>
          <w:p w14:paraId="084982AC"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4,704</w:t>
            </w:r>
          </w:p>
        </w:tc>
        <w:tc>
          <w:tcPr>
            <w:tcW w:w="1276" w:type="dxa"/>
            <w:tcBorders>
              <w:top w:val="single" w:sz="4" w:space="0" w:color="82858F" w:themeColor="accent2"/>
              <w:bottom w:val="single" w:sz="4" w:space="0" w:color="82858F" w:themeColor="accent2"/>
            </w:tcBorders>
            <w:noWrap/>
          </w:tcPr>
          <w:p w14:paraId="0726C1C0"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2,577</w:t>
            </w:r>
          </w:p>
        </w:tc>
        <w:tc>
          <w:tcPr>
            <w:tcW w:w="1134" w:type="dxa"/>
            <w:tcBorders>
              <w:top w:val="single" w:sz="4" w:space="0" w:color="82858F" w:themeColor="accent2"/>
              <w:bottom w:val="single" w:sz="4" w:space="0" w:color="82858F" w:themeColor="accent2"/>
            </w:tcBorders>
            <w:noWrap/>
          </w:tcPr>
          <w:p w14:paraId="74E39E3D"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5,015</w:t>
            </w:r>
          </w:p>
        </w:tc>
        <w:tc>
          <w:tcPr>
            <w:tcW w:w="1134" w:type="dxa"/>
            <w:tcBorders>
              <w:top w:val="single" w:sz="4" w:space="0" w:color="82858F" w:themeColor="accent2"/>
              <w:bottom w:val="single" w:sz="4" w:space="0" w:color="82858F" w:themeColor="accent2"/>
            </w:tcBorders>
            <w:noWrap/>
          </w:tcPr>
          <w:p w14:paraId="5B3A92E7"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2,181</w:t>
            </w:r>
          </w:p>
        </w:tc>
        <w:tc>
          <w:tcPr>
            <w:tcW w:w="1134" w:type="dxa"/>
            <w:tcBorders>
              <w:top w:val="single" w:sz="4" w:space="0" w:color="82858F" w:themeColor="accent2"/>
              <w:bottom w:val="single" w:sz="4" w:space="0" w:color="82858F" w:themeColor="accent2"/>
            </w:tcBorders>
            <w:noWrap/>
          </w:tcPr>
          <w:p w14:paraId="712294C9"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5,753</w:t>
            </w:r>
          </w:p>
        </w:tc>
        <w:tc>
          <w:tcPr>
            <w:tcW w:w="1134" w:type="dxa"/>
            <w:tcBorders>
              <w:top w:val="single" w:sz="4" w:space="0" w:color="82858F" w:themeColor="accent2"/>
              <w:bottom w:val="single" w:sz="4" w:space="0" w:color="82858F" w:themeColor="accent2"/>
            </w:tcBorders>
            <w:noWrap/>
          </w:tcPr>
          <w:p w14:paraId="56B2E04C"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6,077</w:t>
            </w:r>
          </w:p>
        </w:tc>
        <w:tc>
          <w:tcPr>
            <w:tcW w:w="1134" w:type="dxa"/>
            <w:tcBorders>
              <w:top w:val="single" w:sz="4" w:space="0" w:color="82858F" w:themeColor="accent2"/>
              <w:bottom w:val="single" w:sz="4" w:space="0" w:color="82858F" w:themeColor="accent2"/>
            </w:tcBorders>
            <w:noWrap/>
          </w:tcPr>
          <w:p w14:paraId="2753B86D"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4,595</w:t>
            </w:r>
          </w:p>
        </w:tc>
        <w:tc>
          <w:tcPr>
            <w:tcW w:w="1134" w:type="dxa"/>
            <w:tcBorders>
              <w:top w:val="single" w:sz="4" w:space="0" w:color="82858F" w:themeColor="accent2"/>
              <w:bottom w:val="single" w:sz="4" w:space="0" w:color="82858F" w:themeColor="accent2"/>
            </w:tcBorders>
            <w:noWrap/>
          </w:tcPr>
          <w:p w14:paraId="51D6E7E4"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1,169</w:t>
            </w:r>
          </w:p>
        </w:tc>
        <w:tc>
          <w:tcPr>
            <w:tcW w:w="1134" w:type="dxa"/>
            <w:tcBorders>
              <w:top w:val="single" w:sz="4" w:space="0" w:color="82858F" w:themeColor="accent2"/>
              <w:bottom w:val="single" w:sz="4" w:space="0" w:color="82858F" w:themeColor="accent2"/>
            </w:tcBorders>
            <w:noWrap/>
          </w:tcPr>
          <w:p w14:paraId="3C8AFBCE"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2,970</w:t>
            </w:r>
          </w:p>
        </w:tc>
        <w:tc>
          <w:tcPr>
            <w:tcW w:w="1134" w:type="dxa"/>
            <w:tcBorders>
              <w:top w:val="single" w:sz="4" w:space="0" w:color="82858F" w:themeColor="accent2"/>
              <w:bottom w:val="single" w:sz="4" w:space="0" w:color="82858F" w:themeColor="accent2"/>
            </w:tcBorders>
            <w:noWrap/>
          </w:tcPr>
          <w:p w14:paraId="3AEAEFD8"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7,143</w:t>
            </w:r>
          </w:p>
        </w:tc>
        <w:tc>
          <w:tcPr>
            <w:tcW w:w="1135" w:type="dxa"/>
            <w:tcBorders>
              <w:top w:val="single" w:sz="4" w:space="0" w:color="82858F" w:themeColor="accent2"/>
              <w:bottom w:val="single" w:sz="4" w:space="0" w:color="82858F" w:themeColor="accent2"/>
            </w:tcBorders>
            <w:noWrap/>
          </w:tcPr>
          <w:p w14:paraId="61FFFB6C" w14:textId="77777777" w:rsidR="007B55AD" w:rsidRPr="00E6041E" w:rsidRDefault="007B55AD">
            <w:pPr>
              <w:pStyle w:val="Tablebody0"/>
              <w:spacing w:before="20" w:after="20"/>
              <w:jc w:val="right"/>
              <w:rPr>
                <w:rFonts w:asciiTheme="minorHAnsi" w:hAnsiTheme="minorHAnsi" w:cstheme="minorHAnsi"/>
                <w:b/>
                <w:bCs w:val="0"/>
                <w:sz w:val="19"/>
                <w:szCs w:val="19"/>
              </w:rPr>
            </w:pPr>
            <w:r w:rsidRPr="00E6041E">
              <w:rPr>
                <w:rFonts w:asciiTheme="minorHAnsi" w:hAnsiTheme="minorHAnsi" w:cstheme="minorHAnsi"/>
                <w:b/>
                <w:bCs w:val="0"/>
                <w:sz w:val="19"/>
                <w:szCs w:val="19"/>
              </w:rPr>
              <w:t>4,083</w:t>
            </w:r>
          </w:p>
        </w:tc>
      </w:tr>
    </w:tbl>
    <w:p w14:paraId="7E3F526C" w14:textId="77777777" w:rsidR="00510F78" w:rsidRPr="00E6041E" w:rsidRDefault="00510F78" w:rsidP="007D299A">
      <w:pPr>
        <w:rPr>
          <w:rFonts w:cstheme="minorHAnsi"/>
        </w:rPr>
      </w:pPr>
    </w:p>
    <w:p w14:paraId="35F1B06C" w14:textId="77777777" w:rsidR="007D299A" w:rsidRPr="00E6041E" w:rsidRDefault="6F176DD9" w:rsidP="4E0FE161">
      <w:pPr>
        <w:pStyle w:val="TableHeading"/>
        <w:rPr>
          <w:rFonts w:asciiTheme="minorHAnsi" w:hAnsiTheme="minorHAnsi" w:cstheme="minorHAnsi"/>
          <w:sz w:val="24"/>
          <w:szCs w:val="24"/>
          <w:lang w:val="en-US"/>
        </w:rPr>
      </w:pPr>
      <w:r w:rsidRPr="00E6041E">
        <w:rPr>
          <w:rFonts w:asciiTheme="minorHAnsi" w:hAnsiTheme="minorHAnsi" w:cstheme="minorHAnsi"/>
          <w:sz w:val="24"/>
          <w:szCs w:val="24"/>
          <w:lang w:val="en-US"/>
        </w:rPr>
        <w:t xml:space="preserve">Economic Development Funding Sources </w:t>
      </w:r>
    </w:p>
    <w:p w14:paraId="1B106BF0" w14:textId="36A981A1" w:rsidR="4645F692" w:rsidRPr="00FD0FE2" w:rsidRDefault="2EB0E29D" w:rsidP="7F1ACD77">
      <w:pPr>
        <w:tabs>
          <w:tab w:val="left" w:pos="9720"/>
        </w:tabs>
        <w:spacing w:line="276" w:lineRule="auto"/>
        <w:ind w:right="601"/>
        <w:rPr>
          <w:rFonts w:cstheme="minorBidi"/>
          <w:sz w:val="24"/>
          <w:szCs w:val="24"/>
        </w:rPr>
      </w:pPr>
      <w:r w:rsidRPr="7F1ACD77">
        <w:rPr>
          <w:rFonts w:cstheme="minorBidi"/>
          <w:sz w:val="24"/>
          <w:szCs w:val="24"/>
          <w:lang w:val="en-US"/>
        </w:rPr>
        <w:t>The Economic Wellbeing Activity is about achieving long-term and sustainable growth in Gross Domestic Product per capita. With a dynamic growing economy, Wellington is able to offer residents prosperity and an outstanding quality of life. Our economic activities include funding tourism promotions</w:t>
      </w:r>
      <w:r w:rsidR="575B55E9" w:rsidRPr="7F1ACD77">
        <w:rPr>
          <w:rFonts w:cstheme="minorBidi"/>
          <w:sz w:val="24"/>
          <w:szCs w:val="24"/>
          <w:lang w:val="en-US"/>
        </w:rPr>
        <w:t>, major events,</w:t>
      </w:r>
      <w:r w:rsidRPr="7F1ACD77">
        <w:rPr>
          <w:rFonts w:cstheme="minorBidi"/>
          <w:sz w:val="24"/>
          <w:szCs w:val="24"/>
          <w:lang w:val="en-US"/>
        </w:rPr>
        <w:t xml:space="preserve"> and visitor attractions, support for the regional economic development agency,</w:t>
      </w:r>
      <w:r w:rsidR="59D9D194" w:rsidRPr="7F1ACD77">
        <w:rPr>
          <w:rFonts w:cstheme="minorBidi"/>
          <w:sz w:val="24"/>
          <w:szCs w:val="24"/>
          <w:lang w:val="en-US"/>
        </w:rPr>
        <w:t xml:space="preserve"> targeted initiatives in the tech and screen sectors,</w:t>
      </w:r>
      <w:r w:rsidRPr="7F1ACD77">
        <w:rPr>
          <w:rFonts w:cstheme="minorBidi"/>
          <w:sz w:val="24"/>
          <w:szCs w:val="24"/>
          <w:lang w:val="en-US"/>
        </w:rPr>
        <w:t xml:space="preserve"> and maintaining relationships with other agencies to foster economic growth.</w:t>
      </w:r>
    </w:p>
    <w:p w14:paraId="5B3D834A" w14:textId="7FA782D7" w:rsidR="2DC882DF" w:rsidRPr="00E6041E" w:rsidRDefault="2DC882DF" w:rsidP="2DC882DF">
      <w:pPr>
        <w:pStyle w:val="Body"/>
        <w:rPr>
          <w:rFonts w:cstheme="minorHAnsi"/>
          <w:sz w:val="24"/>
          <w:szCs w:val="24"/>
          <w:highlight w:val="yellow"/>
          <w:lang w:val="en-US"/>
        </w:rPr>
      </w:pPr>
    </w:p>
    <w:tbl>
      <w:tblPr>
        <w:tblStyle w:val="TableGrid"/>
        <w:tblW w:w="0" w:type="auto"/>
        <w:tblLook w:val="06A0" w:firstRow="1" w:lastRow="0" w:firstColumn="1" w:lastColumn="0" w:noHBand="1" w:noVBand="1"/>
      </w:tblPr>
      <w:tblGrid>
        <w:gridCol w:w="4260"/>
        <w:gridCol w:w="1620"/>
        <w:gridCol w:w="1905"/>
        <w:gridCol w:w="1481"/>
      </w:tblGrid>
      <w:tr w:rsidR="00834721" w:rsidRPr="00E6041E" w14:paraId="42A8993C" w14:textId="77777777">
        <w:trPr>
          <w:cnfStyle w:val="100000000000" w:firstRow="1" w:lastRow="0" w:firstColumn="0" w:lastColumn="0" w:oddVBand="0" w:evenVBand="0" w:oddHBand="0" w:evenHBand="0" w:firstRowFirstColumn="0" w:firstRowLastColumn="0" w:lastRowFirstColumn="0" w:lastRowLastColumn="0"/>
          <w:trHeight w:val="300"/>
        </w:trPr>
        <w:tc>
          <w:tcPr>
            <w:tcW w:w="4260" w:type="dxa"/>
          </w:tcPr>
          <w:p w14:paraId="1409F5A1" w14:textId="397F2495" w:rsidR="007D299A" w:rsidRPr="00E6041E" w:rsidRDefault="000B3F74">
            <w:pPr>
              <w:rPr>
                <w:rFonts w:asciiTheme="minorHAnsi" w:hAnsiTheme="minorHAnsi" w:cstheme="minorHAnsi"/>
                <w:b w:val="0"/>
                <w:bCs/>
              </w:rPr>
            </w:pPr>
            <w:r w:rsidRPr="00E6041E">
              <w:rPr>
                <w:rFonts w:asciiTheme="minorHAnsi" w:hAnsiTheme="minorHAnsi" w:cstheme="minorHAnsi"/>
                <w:bCs/>
              </w:rPr>
              <w:t>A</w:t>
            </w:r>
            <w:r w:rsidR="007D299A" w:rsidRPr="00E6041E">
              <w:rPr>
                <w:rFonts w:asciiTheme="minorHAnsi" w:hAnsiTheme="minorHAnsi" w:cstheme="minorHAnsi"/>
                <w:bCs/>
              </w:rPr>
              <w:t>ctivity</w:t>
            </w:r>
          </w:p>
        </w:tc>
        <w:tc>
          <w:tcPr>
            <w:tcW w:w="1620" w:type="dxa"/>
          </w:tcPr>
          <w:p w14:paraId="5D20E586" w14:textId="77777777" w:rsidR="007D299A" w:rsidRPr="00E6041E" w:rsidRDefault="007D299A">
            <w:pPr>
              <w:rPr>
                <w:rFonts w:asciiTheme="minorHAnsi" w:hAnsiTheme="minorHAnsi" w:cstheme="minorHAnsi"/>
                <w:b w:val="0"/>
                <w:bCs/>
              </w:rPr>
            </w:pPr>
            <w:r w:rsidRPr="00E6041E">
              <w:rPr>
                <w:rFonts w:asciiTheme="minorHAnsi" w:hAnsiTheme="minorHAnsi" w:cstheme="minorHAnsi"/>
                <w:bCs/>
              </w:rPr>
              <w:t>Fees &amp; Charges</w:t>
            </w:r>
          </w:p>
        </w:tc>
        <w:tc>
          <w:tcPr>
            <w:tcW w:w="1905" w:type="dxa"/>
          </w:tcPr>
          <w:p w14:paraId="52121CD2" w14:textId="77777777" w:rsidR="007D299A" w:rsidRPr="00E6041E" w:rsidRDefault="007D299A">
            <w:pPr>
              <w:rPr>
                <w:rFonts w:asciiTheme="minorHAnsi" w:hAnsiTheme="minorHAnsi" w:cstheme="minorHAnsi"/>
                <w:b w:val="0"/>
                <w:bCs/>
              </w:rPr>
            </w:pPr>
            <w:r w:rsidRPr="00E6041E">
              <w:rPr>
                <w:rFonts w:asciiTheme="minorHAnsi" w:hAnsiTheme="minorHAnsi" w:cstheme="minorHAnsi"/>
                <w:bCs/>
              </w:rPr>
              <w:t>General Rates</w:t>
            </w:r>
          </w:p>
        </w:tc>
        <w:tc>
          <w:tcPr>
            <w:tcW w:w="1481" w:type="dxa"/>
          </w:tcPr>
          <w:p w14:paraId="1BE887A6" w14:textId="77777777" w:rsidR="007D299A" w:rsidRPr="00E6041E" w:rsidRDefault="007D299A">
            <w:pPr>
              <w:rPr>
                <w:rFonts w:asciiTheme="minorHAnsi" w:hAnsiTheme="minorHAnsi" w:cstheme="minorHAnsi"/>
                <w:b w:val="0"/>
                <w:bCs/>
              </w:rPr>
            </w:pPr>
            <w:r w:rsidRPr="00E6041E">
              <w:rPr>
                <w:rFonts w:asciiTheme="minorHAnsi" w:hAnsiTheme="minorHAnsi" w:cstheme="minorHAnsi"/>
                <w:bCs/>
              </w:rPr>
              <w:t>Targeted Rates</w:t>
            </w:r>
          </w:p>
        </w:tc>
      </w:tr>
      <w:tr w:rsidR="00834721" w:rsidRPr="00E6041E" w14:paraId="2E727D16" w14:textId="77777777">
        <w:trPr>
          <w:trHeight w:val="300"/>
        </w:trPr>
        <w:tc>
          <w:tcPr>
            <w:tcW w:w="4260" w:type="dxa"/>
          </w:tcPr>
          <w:p w14:paraId="590B79E6"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WellingtonNZ &amp; Venues Wellington</w:t>
            </w:r>
          </w:p>
        </w:tc>
        <w:tc>
          <w:tcPr>
            <w:tcW w:w="1620" w:type="dxa"/>
          </w:tcPr>
          <w:p w14:paraId="285043FF"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0%</w:t>
            </w:r>
          </w:p>
        </w:tc>
        <w:tc>
          <w:tcPr>
            <w:tcW w:w="1905" w:type="dxa"/>
          </w:tcPr>
          <w:p w14:paraId="2A4D6681"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20%</w:t>
            </w:r>
          </w:p>
        </w:tc>
        <w:tc>
          <w:tcPr>
            <w:tcW w:w="1481" w:type="dxa"/>
          </w:tcPr>
          <w:p w14:paraId="766226AC"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80%*</w:t>
            </w:r>
          </w:p>
        </w:tc>
      </w:tr>
      <w:tr w:rsidR="00834721" w:rsidRPr="00E6041E" w14:paraId="08F95C33" w14:textId="77777777">
        <w:trPr>
          <w:trHeight w:val="300"/>
        </w:trPr>
        <w:tc>
          <w:tcPr>
            <w:tcW w:w="4260" w:type="dxa"/>
          </w:tcPr>
          <w:p w14:paraId="79357E58"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Tākina Wellington Convention Centre</w:t>
            </w:r>
          </w:p>
        </w:tc>
        <w:tc>
          <w:tcPr>
            <w:tcW w:w="1620" w:type="dxa"/>
          </w:tcPr>
          <w:p w14:paraId="143CEF81"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0%</w:t>
            </w:r>
          </w:p>
        </w:tc>
        <w:tc>
          <w:tcPr>
            <w:tcW w:w="1905" w:type="dxa"/>
          </w:tcPr>
          <w:p w14:paraId="00BCF352"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60%</w:t>
            </w:r>
          </w:p>
        </w:tc>
        <w:tc>
          <w:tcPr>
            <w:tcW w:w="1481" w:type="dxa"/>
          </w:tcPr>
          <w:p w14:paraId="6BCF40E4"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40%**</w:t>
            </w:r>
          </w:p>
        </w:tc>
      </w:tr>
      <w:tr w:rsidR="00834721" w:rsidRPr="00E6041E" w14:paraId="22989222" w14:textId="77777777">
        <w:trPr>
          <w:trHeight w:val="300"/>
        </w:trPr>
        <w:tc>
          <w:tcPr>
            <w:tcW w:w="4260" w:type="dxa"/>
          </w:tcPr>
          <w:p w14:paraId="6152C8CC"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City Growth Fund</w:t>
            </w:r>
          </w:p>
        </w:tc>
        <w:tc>
          <w:tcPr>
            <w:tcW w:w="1620" w:type="dxa"/>
          </w:tcPr>
          <w:p w14:paraId="3FEE23C2"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0%</w:t>
            </w:r>
          </w:p>
        </w:tc>
        <w:tc>
          <w:tcPr>
            <w:tcW w:w="1905" w:type="dxa"/>
          </w:tcPr>
          <w:p w14:paraId="2DDEA7AA"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100%</w:t>
            </w:r>
          </w:p>
        </w:tc>
        <w:tc>
          <w:tcPr>
            <w:tcW w:w="1481" w:type="dxa"/>
          </w:tcPr>
          <w:p w14:paraId="51D2E499"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0%</w:t>
            </w:r>
          </w:p>
        </w:tc>
      </w:tr>
      <w:tr w:rsidR="00834721" w:rsidRPr="00E6041E" w14:paraId="74A6BF96" w14:textId="77777777">
        <w:trPr>
          <w:trHeight w:val="300"/>
        </w:trPr>
        <w:tc>
          <w:tcPr>
            <w:tcW w:w="4260" w:type="dxa"/>
            <w:tcBorders>
              <w:bottom w:val="single" w:sz="4" w:space="0" w:color="000000" w:themeColor="text1"/>
            </w:tcBorders>
          </w:tcPr>
          <w:p w14:paraId="522ADFF1"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Major Economic Projects</w:t>
            </w:r>
          </w:p>
        </w:tc>
        <w:tc>
          <w:tcPr>
            <w:tcW w:w="1620" w:type="dxa"/>
            <w:tcBorders>
              <w:bottom w:val="single" w:sz="4" w:space="0" w:color="000000" w:themeColor="text1"/>
            </w:tcBorders>
          </w:tcPr>
          <w:p w14:paraId="51DE063A"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0%</w:t>
            </w:r>
          </w:p>
        </w:tc>
        <w:tc>
          <w:tcPr>
            <w:tcW w:w="1905" w:type="dxa"/>
            <w:tcBorders>
              <w:bottom w:val="single" w:sz="4" w:space="0" w:color="000000" w:themeColor="text1"/>
            </w:tcBorders>
          </w:tcPr>
          <w:p w14:paraId="4DA1CB91"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100%</w:t>
            </w:r>
          </w:p>
        </w:tc>
        <w:tc>
          <w:tcPr>
            <w:tcW w:w="1481" w:type="dxa"/>
            <w:tcBorders>
              <w:bottom w:val="single" w:sz="4" w:space="0" w:color="000000" w:themeColor="text1"/>
            </w:tcBorders>
          </w:tcPr>
          <w:p w14:paraId="530B541D"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0%</w:t>
            </w:r>
          </w:p>
        </w:tc>
      </w:tr>
      <w:tr w:rsidR="00834721" w:rsidRPr="00E6041E" w14:paraId="6B4FC193" w14:textId="77777777">
        <w:trPr>
          <w:trHeight w:val="300"/>
        </w:trPr>
        <w:tc>
          <w:tcPr>
            <w:tcW w:w="4260" w:type="dxa"/>
            <w:tcBorders>
              <w:top w:val="single" w:sz="4" w:space="0" w:color="000000" w:themeColor="text1"/>
              <w:bottom w:val="single" w:sz="4" w:space="0" w:color="000000" w:themeColor="text1"/>
            </w:tcBorders>
          </w:tcPr>
          <w:p w14:paraId="3C10E2A4"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International Relations</w:t>
            </w:r>
          </w:p>
        </w:tc>
        <w:tc>
          <w:tcPr>
            <w:tcW w:w="1620" w:type="dxa"/>
            <w:tcBorders>
              <w:top w:val="single" w:sz="4" w:space="0" w:color="000000" w:themeColor="text1"/>
              <w:bottom w:val="single" w:sz="4" w:space="0" w:color="000000" w:themeColor="text1"/>
            </w:tcBorders>
          </w:tcPr>
          <w:p w14:paraId="6ED37EDF"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0%</w:t>
            </w:r>
          </w:p>
        </w:tc>
        <w:tc>
          <w:tcPr>
            <w:tcW w:w="1905" w:type="dxa"/>
            <w:tcBorders>
              <w:top w:val="single" w:sz="4" w:space="0" w:color="000000" w:themeColor="text1"/>
              <w:bottom w:val="single" w:sz="4" w:space="0" w:color="000000" w:themeColor="text1"/>
            </w:tcBorders>
          </w:tcPr>
          <w:p w14:paraId="42B73449"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100%</w:t>
            </w:r>
          </w:p>
        </w:tc>
        <w:tc>
          <w:tcPr>
            <w:tcW w:w="1481" w:type="dxa"/>
            <w:tcBorders>
              <w:top w:val="single" w:sz="4" w:space="0" w:color="000000" w:themeColor="text1"/>
              <w:bottom w:val="single" w:sz="4" w:space="0" w:color="000000" w:themeColor="text1"/>
            </w:tcBorders>
          </w:tcPr>
          <w:p w14:paraId="095DB75B" w14:textId="77777777" w:rsidR="007D299A" w:rsidRPr="00E6041E" w:rsidRDefault="007D299A">
            <w:pPr>
              <w:rPr>
                <w:rFonts w:asciiTheme="minorHAnsi" w:hAnsiTheme="minorHAnsi" w:cstheme="minorHAnsi"/>
                <w:sz w:val="24"/>
                <w:szCs w:val="24"/>
              </w:rPr>
            </w:pPr>
            <w:r w:rsidRPr="00E6041E">
              <w:rPr>
                <w:rFonts w:asciiTheme="minorHAnsi" w:hAnsiTheme="minorHAnsi" w:cstheme="minorHAnsi"/>
                <w:sz w:val="24"/>
                <w:szCs w:val="24"/>
              </w:rPr>
              <w:t>0%</w:t>
            </w:r>
          </w:p>
        </w:tc>
      </w:tr>
      <w:tr w:rsidR="00834721" w:rsidRPr="00E6041E" w14:paraId="3CBC9BDC" w14:textId="77777777">
        <w:trPr>
          <w:trHeight w:val="300"/>
        </w:trPr>
        <w:tc>
          <w:tcPr>
            <w:tcW w:w="4260"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6DC201FC" w14:textId="77777777" w:rsidR="007D299A" w:rsidRPr="00E6041E" w:rsidRDefault="007D299A">
            <w:pPr>
              <w:spacing w:line="259" w:lineRule="auto"/>
              <w:rPr>
                <w:rFonts w:asciiTheme="minorHAnsi" w:hAnsiTheme="minorHAnsi" w:cstheme="minorHAnsi"/>
                <w:sz w:val="24"/>
                <w:szCs w:val="24"/>
              </w:rPr>
            </w:pPr>
            <w:r w:rsidRPr="00E6041E">
              <w:rPr>
                <w:rFonts w:asciiTheme="minorHAnsi" w:hAnsiTheme="minorHAnsi" w:cstheme="minorHAnsi"/>
                <w:sz w:val="24"/>
                <w:szCs w:val="24"/>
              </w:rPr>
              <w:t>Business Improvement Districts</w:t>
            </w:r>
          </w:p>
        </w:tc>
        <w:tc>
          <w:tcPr>
            <w:tcW w:w="1620"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46D31BCE" w14:textId="77777777" w:rsidR="007D299A" w:rsidRPr="00E6041E" w:rsidRDefault="007D299A">
            <w:pPr>
              <w:spacing w:line="259" w:lineRule="auto"/>
              <w:rPr>
                <w:rFonts w:asciiTheme="minorHAnsi" w:hAnsiTheme="minorHAnsi" w:cstheme="minorHAnsi"/>
                <w:sz w:val="24"/>
                <w:szCs w:val="24"/>
              </w:rPr>
            </w:pPr>
            <w:r w:rsidRPr="00E6041E">
              <w:rPr>
                <w:rFonts w:asciiTheme="minorHAnsi" w:hAnsiTheme="minorHAnsi" w:cstheme="minorHAnsi"/>
                <w:sz w:val="24"/>
                <w:szCs w:val="24"/>
              </w:rPr>
              <w:t>0%</w:t>
            </w:r>
          </w:p>
        </w:tc>
        <w:tc>
          <w:tcPr>
            <w:tcW w:w="1905"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2BDE8009" w14:textId="77777777" w:rsidR="007D299A" w:rsidRPr="00E6041E" w:rsidRDefault="007D299A">
            <w:pPr>
              <w:spacing w:line="259" w:lineRule="auto"/>
              <w:rPr>
                <w:rFonts w:asciiTheme="minorHAnsi" w:hAnsiTheme="minorHAnsi" w:cstheme="minorHAnsi"/>
                <w:sz w:val="24"/>
                <w:szCs w:val="24"/>
              </w:rPr>
            </w:pPr>
            <w:r w:rsidRPr="00E6041E">
              <w:rPr>
                <w:rFonts w:asciiTheme="minorHAnsi" w:hAnsiTheme="minorHAnsi" w:cstheme="minorHAnsi"/>
                <w:sz w:val="24"/>
                <w:szCs w:val="24"/>
              </w:rPr>
              <w:t>0%</w:t>
            </w:r>
          </w:p>
        </w:tc>
        <w:tc>
          <w:tcPr>
            <w:tcW w:w="1481" w:type="dxa"/>
            <w:tcBorders>
              <w:top w:val="single" w:sz="4" w:space="0" w:color="000000" w:themeColor="text1"/>
              <w:left w:val="none" w:sz="4" w:space="0" w:color="000000" w:themeColor="text1"/>
              <w:bottom w:val="single" w:sz="4" w:space="0" w:color="000000" w:themeColor="text1"/>
              <w:right w:val="none" w:sz="4" w:space="0" w:color="000000" w:themeColor="text1"/>
            </w:tcBorders>
          </w:tcPr>
          <w:p w14:paraId="11E296B7" w14:textId="77777777" w:rsidR="007D299A" w:rsidRPr="00E6041E" w:rsidRDefault="007D299A">
            <w:pPr>
              <w:spacing w:line="259" w:lineRule="auto"/>
              <w:rPr>
                <w:rFonts w:asciiTheme="minorHAnsi" w:hAnsiTheme="minorHAnsi" w:cstheme="minorHAnsi"/>
                <w:sz w:val="24"/>
                <w:szCs w:val="24"/>
              </w:rPr>
            </w:pPr>
            <w:r w:rsidRPr="00E6041E">
              <w:rPr>
                <w:rFonts w:asciiTheme="minorHAnsi" w:hAnsiTheme="minorHAnsi" w:cstheme="minorHAnsi"/>
                <w:sz w:val="24"/>
                <w:szCs w:val="24"/>
              </w:rPr>
              <w:t>100%***</w:t>
            </w:r>
          </w:p>
        </w:tc>
      </w:tr>
    </w:tbl>
    <w:p w14:paraId="2AB4154C" w14:textId="77777777" w:rsidR="007D299A" w:rsidRPr="00E6041E" w:rsidRDefault="007D299A" w:rsidP="007D299A">
      <w:pPr>
        <w:pStyle w:val="Body"/>
        <w:spacing w:after="0"/>
        <w:rPr>
          <w:rFonts w:eastAsia="Arial" w:cstheme="minorHAnsi"/>
          <w:i/>
          <w:iCs/>
          <w:color w:val="000000" w:themeColor="text1"/>
        </w:rPr>
      </w:pPr>
      <w:r w:rsidRPr="00E6041E">
        <w:rPr>
          <w:rFonts w:eastAsia="Arial" w:cstheme="minorHAnsi"/>
          <w:i/>
          <w:iCs/>
          <w:color w:val="000000" w:themeColor="text1"/>
        </w:rPr>
        <w:t xml:space="preserve">*30% Commercial and 50% Downtown, ** Downtown, *** Commercial </w:t>
      </w:r>
    </w:p>
    <w:p w14:paraId="074C7D03" w14:textId="3E2238FE" w:rsidR="00510F78" w:rsidRPr="00BE29EC" w:rsidRDefault="007D299A" w:rsidP="19D146C7">
      <w:pPr>
        <w:pStyle w:val="Body"/>
        <w:spacing w:after="0"/>
        <w:rPr>
          <w:rFonts w:eastAsia="Arial" w:cstheme="minorHAnsi"/>
          <w:color w:val="000000" w:themeColor="text1"/>
        </w:rPr>
        <w:sectPr w:rsidR="00510F78" w:rsidRPr="00BE29EC" w:rsidSect="002540A2">
          <w:pgSz w:w="16840" w:h="11901" w:orient="landscape" w:code="9"/>
          <w:pgMar w:top="1134" w:right="878" w:bottom="1134" w:left="1418" w:header="403" w:footer="203" w:gutter="0"/>
          <w:cols w:space="708"/>
          <w:titlePg/>
          <w:docGrid w:linePitch="326"/>
        </w:sectPr>
      </w:pPr>
      <w:r w:rsidRPr="00BE29EC">
        <w:rPr>
          <w:rFonts w:eastAsia="Arial" w:cstheme="minorHAnsi"/>
          <w:color w:val="000000" w:themeColor="text1"/>
        </w:rPr>
        <w:t>Source: 2024 LTP Volume 2</w:t>
      </w:r>
    </w:p>
    <w:p w14:paraId="1D3F726A" w14:textId="77777777" w:rsidR="00671989" w:rsidRPr="00153945" w:rsidRDefault="00671989" w:rsidP="3C7EFEEB">
      <w:pPr>
        <w:pStyle w:val="Heading1"/>
        <w:rPr>
          <w:rFonts w:asciiTheme="minorHAnsi" w:hAnsiTheme="minorHAnsi" w:cstheme="minorBidi"/>
          <w:sz w:val="40"/>
          <w:szCs w:val="40"/>
        </w:rPr>
      </w:pPr>
      <w:bookmarkStart w:id="13" w:name="_Toc223964606"/>
      <w:r w:rsidRPr="3C7EFEEB">
        <w:rPr>
          <w:rFonts w:asciiTheme="minorHAnsi" w:hAnsiTheme="minorHAnsi" w:cstheme="minorBidi"/>
          <w:sz w:val="40"/>
          <w:szCs w:val="40"/>
        </w:rPr>
        <w:t>Why is this activity important?</w:t>
      </w:r>
      <w:bookmarkEnd w:id="13"/>
    </w:p>
    <w:p w14:paraId="52E91EA1" w14:textId="7AA489E5" w:rsidR="00153945" w:rsidRDefault="00153945" w:rsidP="00153945">
      <w:pPr>
        <w:pStyle w:val="Body"/>
        <w:spacing w:after="0" w:line="276" w:lineRule="auto"/>
        <w:rPr>
          <w:rFonts w:eastAsia="MS Gothic" w:cstheme="minorBidi"/>
          <w:sz w:val="24"/>
          <w:szCs w:val="24"/>
        </w:rPr>
      </w:pPr>
    </w:p>
    <w:p w14:paraId="6EA1ED1A" w14:textId="2BD6AA79" w:rsidR="30C869A5" w:rsidRDefault="42C39B33" w:rsidP="4E2CD2AA">
      <w:pPr>
        <w:pStyle w:val="Body"/>
        <w:spacing w:after="0" w:line="276" w:lineRule="auto"/>
        <w:rPr>
          <w:rFonts w:eastAsia="MS Gothic" w:cstheme="minorBidi"/>
          <w:sz w:val="24"/>
          <w:szCs w:val="24"/>
        </w:rPr>
      </w:pPr>
      <w:r w:rsidRPr="4E2CD2AA">
        <w:rPr>
          <w:rFonts w:eastAsia="MS Gothic" w:cstheme="minorBidi"/>
          <w:sz w:val="24"/>
          <w:szCs w:val="24"/>
        </w:rPr>
        <w:t xml:space="preserve">Economic development </w:t>
      </w:r>
      <w:r w:rsidR="4EC786A9" w:rsidRPr="4E2CD2AA">
        <w:rPr>
          <w:rFonts w:eastAsia="MS Gothic" w:cstheme="minorBidi"/>
          <w:sz w:val="24"/>
          <w:szCs w:val="24"/>
        </w:rPr>
        <w:t xml:space="preserve">supports </w:t>
      </w:r>
      <w:r w:rsidRPr="4E2CD2AA">
        <w:rPr>
          <w:rFonts w:eastAsia="MS Gothic" w:cstheme="minorBidi"/>
          <w:sz w:val="24"/>
          <w:szCs w:val="24"/>
        </w:rPr>
        <w:t xml:space="preserve">communities to adapt to changing conditions </w:t>
      </w:r>
      <w:r w:rsidR="5934A421" w:rsidRPr="4E2CD2AA">
        <w:rPr>
          <w:rFonts w:eastAsia="MS Gothic" w:cstheme="minorBidi"/>
          <w:sz w:val="24"/>
          <w:szCs w:val="24"/>
        </w:rPr>
        <w:t xml:space="preserve">and sustain </w:t>
      </w:r>
      <w:r w:rsidRPr="4E2CD2AA">
        <w:rPr>
          <w:rFonts w:eastAsia="MS Gothic" w:cstheme="minorBidi"/>
          <w:sz w:val="24"/>
          <w:szCs w:val="24"/>
        </w:rPr>
        <w:t xml:space="preserve">long-term wellbeing. A </w:t>
      </w:r>
      <w:r w:rsidR="3EA51B60" w:rsidRPr="4E2CD2AA">
        <w:rPr>
          <w:rFonts w:eastAsia="MS Gothic" w:cstheme="minorBidi"/>
          <w:sz w:val="24"/>
          <w:szCs w:val="24"/>
        </w:rPr>
        <w:t xml:space="preserve">resilient </w:t>
      </w:r>
      <w:r w:rsidRPr="4E2CD2AA">
        <w:rPr>
          <w:rFonts w:eastAsia="MS Gothic" w:cstheme="minorBidi"/>
          <w:sz w:val="24"/>
          <w:szCs w:val="24"/>
        </w:rPr>
        <w:t xml:space="preserve">economy </w:t>
      </w:r>
      <w:r w:rsidR="29DD1571" w:rsidRPr="4E2CD2AA">
        <w:rPr>
          <w:rFonts w:eastAsia="MS Gothic" w:cstheme="minorBidi"/>
          <w:sz w:val="24"/>
          <w:szCs w:val="24"/>
        </w:rPr>
        <w:t xml:space="preserve">contributes to employment </w:t>
      </w:r>
      <w:r w:rsidRPr="4E2CD2AA">
        <w:rPr>
          <w:rFonts w:eastAsia="MS Gothic" w:cstheme="minorBidi"/>
          <w:sz w:val="24"/>
          <w:szCs w:val="24"/>
        </w:rPr>
        <w:t xml:space="preserve">opportunities, higher household incomes, and </w:t>
      </w:r>
      <w:r w:rsidR="0E978ACB" w:rsidRPr="4E2CD2AA">
        <w:rPr>
          <w:rFonts w:eastAsia="MS Gothic" w:cstheme="minorBidi"/>
          <w:sz w:val="24"/>
          <w:szCs w:val="24"/>
        </w:rPr>
        <w:t xml:space="preserve">the provision of </w:t>
      </w:r>
      <w:r w:rsidRPr="4E2CD2AA">
        <w:rPr>
          <w:rFonts w:eastAsia="MS Gothic" w:cstheme="minorBidi"/>
          <w:sz w:val="24"/>
          <w:szCs w:val="24"/>
        </w:rPr>
        <w:t xml:space="preserve">public services. Rapidly changing global trends such as technological innovation, climate </w:t>
      </w:r>
      <w:r w:rsidR="73C0A6A0" w:rsidRPr="4E2CD2AA">
        <w:rPr>
          <w:rFonts w:eastAsia="MS Gothic" w:cstheme="minorBidi"/>
          <w:sz w:val="24"/>
          <w:szCs w:val="24"/>
        </w:rPr>
        <w:t>transition</w:t>
      </w:r>
      <w:r w:rsidRPr="4E2CD2AA">
        <w:rPr>
          <w:rFonts w:eastAsia="MS Gothic" w:cstheme="minorBidi"/>
          <w:sz w:val="24"/>
          <w:szCs w:val="24"/>
        </w:rPr>
        <w:t>, and shifting trade patterns influence how cities</w:t>
      </w:r>
      <w:r w:rsidR="00F7339D" w:rsidRPr="4E2CD2AA">
        <w:rPr>
          <w:rFonts w:eastAsia="MS Gothic" w:cstheme="minorBidi"/>
          <w:sz w:val="24"/>
          <w:szCs w:val="24"/>
        </w:rPr>
        <w:t xml:space="preserve"> such as Wellington</w:t>
      </w:r>
      <w:r w:rsidRPr="4E2CD2AA">
        <w:rPr>
          <w:rFonts w:eastAsia="MS Gothic" w:cstheme="minorBidi"/>
          <w:sz w:val="24"/>
          <w:szCs w:val="24"/>
        </w:rPr>
        <w:t xml:space="preserve"> remain competitive and resilient. </w:t>
      </w:r>
    </w:p>
    <w:p w14:paraId="0B8AAB05" w14:textId="2F042ED9" w:rsidR="00D862C7" w:rsidRDefault="00D862C7" w:rsidP="68952F3F">
      <w:pPr>
        <w:pStyle w:val="Body"/>
        <w:spacing w:after="0" w:line="276" w:lineRule="auto"/>
        <w:rPr>
          <w:rFonts w:eastAsia="MS Gothic" w:cstheme="minorBidi"/>
          <w:sz w:val="24"/>
          <w:szCs w:val="24"/>
        </w:rPr>
      </w:pPr>
    </w:p>
    <w:p w14:paraId="2CDAB0FA" w14:textId="587E18D3" w:rsidR="61783937" w:rsidRDefault="4DD9831F" w:rsidP="4667AA84">
      <w:pPr>
        <w:pStyle w:val="Body"/>
        <w:spacing w:after="0" w:line="276" w:lineRule="auto"/>
        <w:rPr>
          <w:rFonts w:eastAsia="MS Gothic" w:cstheme="minorBidi"/>
          <w:sz w:val="24"/>
          <w:szCs w:val="24"/>
        </w:rPr>
      </w:pPr>
      <w:r w:rsidRPr="4667AA84">
        <w:rPr>
          <w:rFonts w:eastAsia="MS Gothic" w:cstheme="minorBidi"/>
          <w:sz w:val="24"/>
          <w:szCs w:val="24"/>
        </w:rPr>
        <w:t>Feedback from c</w:t>
      </w:r>
      <w:r w:rsidR="744FEC70" w:rsidRPr="4667AA84">
        <w:rPr>
          <w:rFonts w:eastAsia="MS Gothic" w:cstheme="minorBidi"/>
          <w:sz w:val="24"/>
          <w:szCs w:val="24"/>
        </w:rPr>
        <w:t xml:space="preserve">ommunities and businesses </w:t>
      </w:r>
      <w:r w:rsidR="6DD12D92" w:rsidRPr="4667AA84">
        <w:rPr>
          <w:rFonts w:eastAsia="MS Gothic" w:cstheme="minorBidi"/>
          <w:sz w:val="24"/>
          <w:szCs w:val="24"/>
        </w:rPr>
        <w:t xml:space="preserve">indicate </w:t>
      </w:r>
      <w:r w:rsidR="744FEC70" w:rsidRPr="4667AA84">
        <w:rPr>
          <w:rFonts w:eastAsia="MS Gothic" w:cstheme="minorBidi"/>
          <w:sz w:val="24"/>
          <w:szCs w:val="24"/>
        </w:rPr>
        <w:t xml:space="preserve">that economic development </w:t>
      </w:r>
      <w:r w:rsidR="10668BE8" w:rsidRPr="4667AA84">
        <w:rPr>
          <w:rFonts w:eastAsia="MS Gothic" w:cstheme="minorBidi"/>
          <w:sz w:val="24"/>
          <w:szCs w:val="24"/>
        </w:rPr>
        <w:t>encompasses more</w:t>
      </w:r>
      <w:r w:rsidR="744FEC70" w:rsidRPr="4667AA84">
        <w:rPr>
          <w:rFonts w:eastAsia="MS Gothic" w:cstheme="minorBidi"/>
          <w:sz w:val="24"/>
          <w:szCs w:val="24"/>
        </w:rPr>
        <w:t xml:space="preserve"> than economic growth, it’s also about improving quality of life</w:t>
      </w:r>
      <w:r w:rsidR="49BB9AAF" w:rsidRPr="4667AA84">
        <w:rPr>
          <w:rFonts w:eastAsia="MS Gothic" w:cstheme="minorBidi"/>
          <w:sz w:val="24"/>
          <w:szCs w:val="24"/>
        </w:rPr>
        <w:t>, quality of city experience</w:t>
      </w:r>
      <w:r w:rsidR="744FEC70" w:rsidRPr="4667AA84">
        <w:rPr>
          <w:rFonts w:eastAsia="MS Gothic" w:cstheme="minorBidi"/>
          <w:sz w:val="24"/>
          <w:szCs w:val="24"/>
        </w:rPr>
        <w:t xml:space="preserve">, ensuring access to employment, and creating inclusive opportunities for all residents. </w:t>
      </w:r>
      <w:r w:rsidR="6BEE25E7" w:rsidRPr="4667AA84">
        <w:rPr>
          <w:rFonts w:eastAsia="MS Gothic" w:cstheme="minorBidi"/>
          <w:sz w:val="24"/>
          <w:szCs w:val="24"/>
        </w:rPr>
        <w:t>Interventions that support business capability, foster innovation</w:t>
      </w:r>
      <w:r w:rsidR="744FEC70" w:rsidRPr="4667AA84">
        <w:rPr>
          <w:rFonts w:eastAsia="MS Gothic" w:cstheme="minorBidi"/>
          <w:sz w:val="24"/>
          <w:szCs w:val="24"/>
        </w:rPr>
        <w:t xml:space="preserve"> and </w:t>
      </w:r>
      <w:r w:rsidR="60FD6B95" w:rsidRPr="4667AA84">
        <w:rPr>
          <w:rFonts w:eastAsia="MS Gothic" w:cstheme="minorBidi"/>
          <w:sz w:val="24"/>
          <w:szCs w:val="24"/>
        </w:rPr>
        <w:t xml:space="preserve">enable </w:t>
      </w:r>
      <w:r w:rsidR="744FEC70" w:rsidRPr="4667AA84">
        <w:rPr>
          <w:rFonts w:eastAsia="MS Gothic" w:cstheme="minorBidi"/>
          <w:sz w:val="24"/>
          <w:szCs w:val="24"/>
        </w:rPr>
        <w:t>transition to a low-carbon economy</w:t>
      </w:r>
      <w:r w:rsidR="7FB81810" w:rsidRPr="4667AA84">
        <w:rPr>
          <w:rFonts w:eastAsia="MS Gothic" w:cstheme="minorBidi"/>
          <w:sz w:val="24"/>
          <w:szCs w:val="24"/>
        </w:rPr>
        <w:t xml:space="preserve"> help build </w:t>
      </w:r>
      <w:r w:rsidR="744FEC70" w:rsidRPr="4667AA84">
        <w:rPr>
          <w:rFonts w:eastAsia="MS Gothic" w:cstheme="minorBidi"/>
          <w:sz w:val="24"/>
          <w:szCs w:val="24"/>
        </w:rPr>
        <w:t>a vibrant city where people can access meaningful work, create liveable neighbourhoods, and participate in a diverse and resilient economy.</w:t>
      </w:r>
    </w:p>
    <w:p w14:paraId="39E18EF8" w14:textId="2EC3FB04" w:rsidR="30C869A5" w:rsidRDefault="30C869A5" w:rsidP="30C869A5">
      <w:pPr>
        <w:pStyle w:val="Body"/>
        <w:spacing w:after="0" w:line="276" w:lineRule="auto"/>
        <w:rPr>
          <w:rFonts w:eastAsia="MS Gothic" w:cstheme="minorBidi"/>
          <w:sz w:val="24"/>
          <w:szCs w:val="24"/>
        </w:rPr>
      </w:pPr>
    </w:p>
    <w:p w14:paraId="302161B7" w14:textId="226B4095" w:rsidR="30C869A5" w:rsidRDefault="18B14A26" w:rsidP="7F1ACD77">
      <w:pPr>
        <w:pStyle w:val="Body"/>
        <w:spacing w:after="0" w:line="276" w:lineRule="auto"/>
        <w:rPr>
          <w:rFonts w:eastAsia="MS Gothic" w:cstheme="minorBidi"/>
          <w:sz w:val="24"/>
          <w:szCs w:val="24"/>
        </w:rPr>
      </w:pPr>
      <w:r w:rsidRPr="4667AA84">
        <w:rPr>
          <w:rFonts w:eastAsia="MS Gothic" w:cstheme="minorBidi"/>
          <w:sz w:val="24"/>
          <w:szCs w:val="24"/>
        </w:rPr>
        <w:t>Wellington</w:t>
      </w:r>
      <w:r w:rsidR="68023630" w:rsidRPr="4667AA84">
        <w:rPr>
          <w:rFonts w:eastAsia="MS Gothic" w:cstheme="minorBidi"/>
          <w:sz w:val="24"/>
          <w:szCs w:val="24"/>
        </w:rPr>
        <w:t>’s economic performance over the past five years reflects a combination of structural strengths and persistent vulnerabilities</w:t>
      </w:r>
      <w:r w:rsidR="68B85BA3" w:rsidRPr="4667AA84">
        <w:rPr>
          <w:rFonts w:eastAsia="MS Gothic" w:cstheme="minorBidi"/>
          <w:sz w:val="24"/>
          <w:szCs w:val="24"/>
        </w:rPr>
        <w:t xml:space="preserve">. </w:t>
      </w:r>
      <w:r w:rsidR="7DC7A380" w:rsidRPr="4667AA84">
        <w:rPr>
          <w:rFonts w:eastAsia="MS Gothic" w:cstheme="minorBidi"/>
          <w:sz w:val="24"/>
          <w:szCs w:val="24"/>
        </w:rPr>
        <w:t>T</w:t>
      </w:r>
      <w:r w:rsidR="68B85BA3" w:rsidRPr="4667AA84">
        <w:rPr>
          <w:rFonts w:eastAsia="MS Gothic" w:cstheme="minorBidi"/>
          <w:sz w:val="24"/>
          <w:szCs w:val="24"/>
        </w:rPr>
        <w:t>argeted interventions have supported activity</w:t>
      </w:r>
      <w:r w:rsidR="0D4FA7A3" w:rsidRPr="4667AA84">
        <w:rPr>
          <w:rFonts w:eastAsia="MS Gothic" w:cstheme="minorBidi"/>
          <w:sz w:val="24"/>
          <w:szCs w:val="24"/>
        </w:rPr>
        <w:t xml:space="preserve"> during the </w:t>
      </w:r>
      <w:r w:rsidR="697E8126" w:rsidRPr="4667AA84">
        <w:rPr>
          <w:rFonts w:eastAsia="MS Gothic" w:cstheme="minorBidi"/>
          <w:sz w:val="24"/>
          <w:szCs w:val="24"/>
        </w:rPr>
        <w:t>post Covid</w:t>
      </w:r>
      <w:r w:rsidR="73099C5A" w:rsidRPr="4667AA84">
        <w:rPr>
          <w:rFonts w:eastAsia="MS Gothic" w:cstheme="minorBidi"/>
          <w:sz w:val="24"/>
          <w:szCs w:val="24"/>
        </w:rPr>
        <w:t xml:space="preserve"> period, but</w:t>
      </w:r>
      <w:r w:rsidR="697E8126" w:rsidRPr="4667AA84">
        <w:rPr>
          <w:rFonts w:eastAsia="MS Gothic" w:cstheme="minorBidi"/>
          <w:sz w:val="24"/>
          <w:szCs w:val="24"/>
        </w:rPr>
        <w:t xml:space="preserve"> </w:t>
      </w:r>
      <w:r w:rsidR="68B85BA3" w:rsidRPr="4667AA84">
        <w:rPr>
          <w:rFonts w:eastAsia="MS Gothic" w:cstheme="minorBidi"/>
          <w:sz w:val="24"/>
          <w:szCs w:val="24"/>
        </w:rPr>
        <w:t xml:space="preserve">the city continues to </w:t>
      </w:r>
      <w:r w:rsidR="6AFDA530" w:rsidRPr="4667AA84">
        <w:rPr>
          <w:rFonts w:eastAsia="MS Gothic" w:cstheme="minorBidi"/>
          <w:sz w:val="24"/>
          <w:szCs w:val="24"/>
        </w:rPr>
        <w:t xml:space="preserve">experience subdued </w:t>
      </w:r>
      <w:r w:rsidR="68B85BA3" w:rsidRPr="4667AA84">
        <w:rPr>
          <w:rFonts w:eastAsia="MS Gothic" w:cstheme="minorBidi"/>
          <w:sz w:val="24"/>
          <w:szCs w:val="24"/>
        </w:rPr>
        <w:t>economic momentum,</w:t>
      </w:r>
      <w:r w:rsidR="2F91A78B" w:rsidRPr="4667AA84">
        <w:rPr>
          <w:rFonts w:eastAsia="MS Gothic" w:cstheme="minorBidi"/>
          <w:sz w:val="24"/>
          <w:szCs w:val="24"/>
        </w:rPr>
        <w:t xml:space="preserve"> a</w:t>
      </w:r>
      <w:r w:rsidR="6E976E5E" w:rsidRPr="4667AA84">
        <w:rPr>
          <w:rFonts w:eastAsia="MS Gothic" w:cstheme="minorBidi"/>
          <w:sz w:val="24"/>
          <w:szCs w:val="24"/>
        </w:rPr>
        <w:t xml:space="preserve"> signifi</w:t>
      </w:r>
      <w:r w:rsidR="06F7D592" w:rsidRPr="4667AA84">
        <w:rPr>
          <w:rFonts w:eastAsia="MS Gothic" w:cstheme="minorBidi"/>
          <w:sz w:val="24"/>
          <w:szCs w:val="24"/>
        </w:rPr>
        <w:t>cant</w:t>
      </w:r>
      <w:r w:rsidR="6E976E5E" w:rsidRPr="4667AA84">
        <w:rPr>
          <w:rFonts w:eastAsia="MS Gothic" w:cstheme="minorBidi"/>
          <w:sz w:val="24"/>
          <w:szCs w:val="24"/>
        </w:rPr>
        <w:t xml:space="preserve"> concentration of jobs in the public sector and related </w:t>
      </w:r>
      <w:r w:rsidR="69685ECC" w:rsidRPr="4667AA84">
        <w:rPr>
          <w:rFonts w:eastAsia="MS Gothic" w:cstheme="minorBidi"/>
          <w:sz w:val="24"/>
          <w:szCs w:val="24"/>
        </w:rPr>
        <w:t>services, and</w:t>
      </w:r>
      <w:r w:rsidR="6E976E5E" w:rsidRPr="4667AA84">
        <w:rPr>
          <w:rFonts w:eastAsia="MS Gothic" w:cstheme="minorBidi"/>
          <w:sz w:val="24"/>
          <w:szCs w:val="24"/>
        </w:rPr>
        <w:t xml:space="preserve"> related services,</w:t>
      </w:r>
      <w:r w:rsidR="663FE253" w:rsidRPr="4667AA84">
        <w:rPr>
          <w:rFonts w:eastAsia="MS Gothic" w:cstheme="minorBidi"/>
          <w:sz w:val="24"/>
          <w:szCs w:val="24"/>
        </w:rPr>
        <w:t xml:space="preserve"> and </w:t>
      </w:r>
      <w:r w:rsidR="27308F3F" w:rsidRPr="4667AA84">
        <w:rPr>
          <w:rFonts w:eastAsia="MS Gothic" w:cstheme="minorBidi"/>
          <w:sz w:val="24"/>
          <w:szCs w:val="24"/>
        </w:rPr>
        <w:t xml:space="preserve">variable </w:t>
      </w:r>
      <w:r w:rsidR="663FE253" w:rsidRPr="4667AA84">
        <w:rPr>
          <w:rFonts w:eastAsia="MS Gothic" w:cstheme="minorBidi"/>
          <w:sz w:val="24"/>
          <w:szCs w:val="24"/>
        </w:rPr>
        <w:t xml:space="preserve">central city demand. </w:t>
      </w:r>
    </w:p>
    <w:p w14:paraId="27B9D0F2" w14:textId="268450EA" w:rsidR="007D658B" w:rsidRDefault="007D658B" w:rsidP="007D658B">
      <w:pPr>
        <w:pStyle w:val="Body"/>
        <w:spacing w:after="0" w:line="276" w:lineRule="auto"/>
        <w:rPr>
          <w:rFonts w:eastAsia="MS Gothic" w:cstheme="minorBidi"/>
          <w:sz w:val="24"/>
          <w:szCs w:val="24"/>
        </w:rPr>
      </w:pPr>
    </w:p>
    <w:p w14:paraId="442AD529" w14:textId="37CE9D5A" w:rsidR="002A7F45" w:rsidRPr="007D658B" w:rsidRDefault="00DD1C5B" w:rsidP="007D658B">
      <w:pPr>
        <w:pStyle w:val="Body"/>
        <w:spacing w:after="0" w:line="276" w:lineRule="auto"/>
        <w:rPr>
          <w:rFonts w:eastAsia="MS Gothic" w:cstheme="minorBidi"/>
          <w:sz w:val="24"/>
          <w:szCs w:val="24"/>
        </w:rPr>
      </w:pPr>
      <w:r w:rsidRPr="30C869A5">
        <w:rPr>
          <w:rFonts w:eastAsia="MS Gothic" w:cstheme="minorBidi"/>
          <w:sz w:val="24"/>
          <w:szCs w:val="24"/>
        </w:rPr>
        <w:t>The Council employs several key economic development interventions to support Wellington’s economy. Major events</w:t>
      </w:r>
      <w:r w:rsidR="6D6ABA6B" w:rsidRPr="30C869A5">
        <w:rPr>
          <w:rFonts w:eastAsia="MS Gothic" w:cstheme="minorBidi"/>
          <w:sz w:val="24"/>
          <w:szCs w:val="24"/>
        </w:rPr>
        <w:t>,</w:t>
      </w:r>
      <w:r w:rsidRPr="30C869A5">
        <w:rPr>
          <w:rFonts w:eastAsia="MS Gothic" w:cstheme="minorBidi"/>
          <w:sz w:val="24"/>
          <w:szCs w:val="24"/>
        </w:rPr>
        <w:t xml:space="preserve"> and the Tākina Wellington Convention and Exhibition Centre draw visitors and spending, directly aiding recovery in hospitality, retail, and accommodation sectors while creating jobs. Tourism promotion targets both domestic and international visitors, leveraging Wellington’s cultural strengths to boost local businesses and raise the city’s profile. Business support programmes</w:t>
      </w:r>
      <w:r w:rsidR="007F0AF1" w:rsidRPr="30C869A5">
        <w:rPr>
          <w:rFonts w:eastAsia="MS Gothic" w:cstheme="minorBidi"/>
          <w:sz w:val="24"/>
          <w:szCs w:val="24"/>
        </w:rPr>
        <w:t xml:space="preserve">, </w:t>
      </w:r>
      <w:r w:rsidRPr="30C869A5">
        <w:rPr>
          <w:rFonts w:eastAsia="MS Gothic" w:cstheme="minorBidi"/>
          <w:sz w:val="24"/>
          <w:szCs w:val="24"/>
        </w:rPr>
        <w:t>including grants, mentoring, and resilience initiatives</w:t>
      </w:r>
      <w:r w:rsidR="007F0AF1" w:rsidRPr="30C869A5">
        <w:rPr>
          <w:rFonts w:eastAsia="MS Gothic" w:cstheme="minorBidi"/>
          <w:sz w:val="24"/>
          <w:szCs w:val="24"/>
        </w:rPr>
        <w:t xml:space="preserve">, </w:t>
      </w:r>
      <w:r w:rsidRPr="30C869A5">
        <w:rPr>
          <w:rFonts w:eastAsia="MS Gothic" w:cstheme="minorBidi"/>
          <w:sz w:val="24"/>
          <w:szCs w:val="24"/>
        </w:rPr>
        <w:t xml:space="preserve">help local enterprises, especially SMEs, adapt to change and innovate, supporting sustainable, low-carbon growth. Place-based development, such as the Courtenay Precinct Plan, creates vibrant neighbourhoods that attract residents and investment, fostering a diverse and liveable economy. </w:t>
      </w:r>
    </w:p>
    <w:p w14:paraId="5B6E099B" w14:textId="77777777" w:rsidR="009D3CCB" w:rsidRPr="007D658B" w:rsidRDefault="009D3CCB" w:rsidP="007D658B">
      <w:pPr>
        <w:pStyle w:val="Body"/>
        <w:spacing w:after="0" w:line="276" w:lineRule="auto"/>
        <w:rPr>
          <w:rFonts w:eastAsia="MS Gothic" w:cstheme="minorHAnsi"/>
          <w:sz w:val="24"/>
          <w:szCs w:val="24"/>
        </w:rPr>
      </w:pPr>
    </w:p>
    <w:p w14:paraId="629FD0FA" w14:textId="45863AEB" w:rsidR="25876FEA" w:rsidRDefault="1C4C19A7" w:rsidP="68952F3F">
      <w:pPr>
        <w:pStyle w:val="Body"/>
        <w:spacing w:after="0" w:line="276" w:lineRule="auto"/>
        <w:rPr>
          <w:rFonts w:eastAsia="MS Gothic" w:cstheme="minorBidi"/>
          <w:sz w:val="24"/>
          <w:szCs w:val="24"/>
        </w:rPr>
      </w:pPr>
      <w:r w:rsidRPr="68952F3F">
        <w:rPr>
          <w:rFonts w:eastAsia="MS Gothic" w:cstheme="minorBidi"/>
          <w:sz w:val="24"/>
          <w:szCs w:val="24"/>
        </w:rPr>
        <w:t>However,</w:t>
      </w:r>
      <w:r w:rsidR="07542074" w:rsidRPr="68952F3F">
        <w:rPr>
          <w:rFonts w:eastAsia="MS Gothic" w:cstheme="minorBidi"/>
          <w:sz w:val="24"/>
          <w:szCs w:val="24"/>
        </w:rPr>
        <w:t xml:space="preserve"> the breadth of activity has limited the ability to achieve system-level economic transformation. Investment has been spread across a wide range of initiatives and activities, diluting impact and reducing scope</w:t>
      </w:r>
      <w:r w:rsidR="568489EC" w:rsidRPr="68952F3F">
        <w:rPr>
          <w:rFonts w:eastAsia="MS Gothic" w:cstheme="minorBidi"/>
          <w:sz w:val="24"/>
          <w:szCs w:val="24"/>
        </w:rPr>
        <w:t xml:space="preserve"> for sustained diversification. </w:t>
      </w:r>
    </w:p>
    <w:p w14:paraId="4EB65E95" w14:textId="2B386427" w:rsidR="30C869A5" w:rsidRDefault="30C869A5" w:rsidP="68952F3F">
      <w:pPr>
        <w:pStyle w:val="Body"/>
        <w:spacing w:after="0" w:line="276" w:lineRule="auto"/>
        <w:rPr>
          <w:rFonts w:eastAsia="MS Gothic" w:cstheme="minorBidi"/>
          <w:sz w:val="24"/>
          <w:szCs w:val="24"/>
        </w:rPr>
      </w:pPr>
    </w:p>
    <w:p w14:paraId="55623C1B" w14:textId="191B204A" w:rsidR="15150629" w:rsidRDefault="3A4FCCE9" w:rsidP="4667AA84">
      <w:pPr>
        <w:pStyle w:val="Body"/>
        <w:spacing w:after="0" w:line="276" w:lineRule="auto"/>
        <w:rPr>
          <w:rFonts w:eastAsia="MS Gothic" w:cstheme="minorBidi"/>
          <w:sz w:val="24"/>
          <w:szCs w:val="24"/>
        </w:rPr>
      </w:pPr>
      <w:r w:rsidRPr="4667AA84">
        <w:rPr>
          <w:rFonts w:eastAsia="MS Gothic" w:cstheme="minorBidi"/>
          <w:sz w:val="24"/>
          <w:szCs w:val="24"/>
        </w:rPr>
        <w:t>Wellington’s central city continues to experience challenges from reduced foot traffic, retail and commercial vacancies growth, and lower amenity perceptions. Without a shift in approach, the city will continue to experience constrain</w:t>
      </w:r>
      <w:r w:rsidR="589A5E5F" w:rsidRPr="4667AA84">
        <w:rPr>
          <w:rFonts w:eastAsia="MS Gothic" w:cstheme="minorBidi"/>
          <w:sz w:val="24"/>
          <w:szCs w:val="24"/>
        </w:rPr>
        <w:t>ts and risks to its comparative competitive advantage</w:t>
      </w:r>
      <w:r w:rsidR="46E86125" w:rsidRPr="4667AA84">
        <w:rPr>
          <w:rFonts w:eastAsia="MS Gothic" w:cstheme="minorBidi"/>
          <w:sz w:val="24"/>
          <w:szCs w:val="24"/>
        </w:rPr>
        <w:t xml:space="preserve"> as the creative capital where people and nature thrive. </w:t>
      </w:r>
    </w:p>
    <w:p w14:paraId="51928BCE" w14:textId="7DBDF912" w:rsidR="30C869A5" w:rsidRDefault="30C869A5" w:rsidP="68952F3F">
      <w:pPr>
        <w:pStyle w:val="Body"/>
        <w:spacing w:after="0" w:line="276" w:lineRule="auto"/>
        <w:rPr>
          <w:rFonts w:eastAsia="MS Gothic" w:cstheme="minorBidi"/>
          <w:sz w:val="24"/>
          <w:szCs w:val="24"/>
        </w:rPr>
      </w:pPr>
    </w:p>
    <w:p w14:paraId="4CCEFE58" w14:textId="37210FAD" w:rsidR="498B4965" w:rsidRDefault="258252A5" w:rsidP="4667AA84">
      <w:pPr>
        <w:pStyle w:val="Body"/>
        <w:spacing w:after="0" w:line="276" w:lineRule="auto"/>
        <w:rPr>
          <w:rFonts w:eastAsia="MS Gothic" w:cstheme="minorBidi"/>
          <w:sz w:val="24"/>
          <w:szCs w:val="24"/>
        </w:rPr>
      </w:pPr>
      <w:r w:rsidRPr="4667AA84">
        <w:rPr>
          <w:rFonts w:eastAsia="MS Gothic" w:cstheme="minorBidi"/>
          <w:sz w:val="24"/>
          <w:szCs w:val="24"/>
        </w:rPr>
        <w:t xml:space="preserve">Looking ahead, Wellington faces a materially different operating environment from the one in which many existing initiatives were designed. Fiscal constraints, rising cost structures and </w:t>
      </w:r>
      <w:r w:rsidR="76FE25F5" w:rsidRPr="4667AA84">
        <w:rPr>
          <w:rFonts w:eastAsia="MS Gothic" w:cstheme="minorBidi"/>
          <w:sz w:val="24"/>
          <w:szCs w:val="24"/>
        </w:rPr>
        <w:t>increasing expectations for</w:t>
      </w:r>
      <w:r w:rsidR="612FA779" w:rsidRPr="4667AA84">
        <w:rPr>
          <w:rFonts w:eastAsia="MS Gothic" w:cstheme="minorBidi"/>
          <w:sz w:val="24"/>
          <w:szCs w:val="24"/>
        </w:rPr>
        <w:t xml:space="preserve"> value </w:t>
      </w:r>
      <w:r w:rsidR="47DE0464" w:rsidRPr="4667AA84">
        <w:rPr>
          <w:rFonts w:eastAsia="MS Gothic" w:cstheme="minorBidi"/>
          <w:sz w:val="24"/>
          <w:szCs w:val="24"/>
        </w:rPr>
        <w:t xml:space="preserve">from rate-funded activities </w:t>
      </w:r>
      <w:r w:rsidR="001D694B" w:rsidRPr="4667AA84">
        <w:rPr>
          <w:rFonts w:eastAsia="MS Gothic" w:cstheme="minorBidi"/>
          <w:sz w:val="24"/>
          <w:szCs w:val="24"/>
        </w:rPr>
        <w:t>r</w:t>
      </w:r>
      <w:r w:rsidR="612FA779" w:rsidRPr="4667AA84">
        <w:rPr>
          <w:rFonts w:eastAsia="MS Gothic" w:cstheme="minorBidi"/>
          <w:sz w:val="24"/>
          <w:szCs w:val="24"/>
        </w:rPr>
        <w:t xml:space="preserve">equires </w:t>
      </w:r>
      <w:r w:rsidR="622A5540" w:rsidRPr="4667AA84">
        <w:rPr>
          <w:rFonts w:eastAsia="MS Gothic" w:cstheme="minorBidi"/>
          <w:sz w:val="24"/>
          <w:szCs w:val="24"/>
        </w:rPr>
        <w:t xml:space="preserve">a more disciplined approach to </w:t>
      </w:r>
      <w:r w:rsidR="612FA779" w:rsidRPr="4667AA84">
        <w:rPr>
          <w:rFonts w:eastAsia="MS Gothic" w:cstheme="minorBidi"/>
          <w:sz w:val="24"/>
          <w:szCs w:val="24"/>
        </w:rPr>
        <w:t>prioritisation</w:t>
      </w:r>
      <w:r w:rsidR="762E650B" w:rsidRPr="4667AA84">
        <w:rPr>
          <w:rFonts w:eastAsia="MS Gothic" w:cstheme="minorBidi"/>
          <w:sz w:val="24"/>
          <w:szCs w:val="24"/>
        </w:rPr>
        <w:t xml:space="preserve"> w</w:t>
      </w:r>
      <w:r w:rsidR="31E92BD7" w:rsidRPr="4667AA84">
        <w:rPr>
          <w:rFonts w:eastAsia="MS Gothic" w:cstheme="minorBidi"/>
          <w:sz w:val="24"/>
          <w:szCs w:val="24"/>
        </w:rPr>
        <w:t xml:space="preserve">ithout losing focus on our competitive strengths, that will help Wellington diversify its job market, attract talent and </w:t>
      </w:r>
      <w:r w:rsidR="15E436F5" w:rsidRPr="4667AA84">
        <w:rPr>
          <w:rFonts w:eastAsia="MS Gothic" w:cstheme="minorBidi"/>
          <w:sz w:val="24"/>
          <w:szCs w:val="24"/>
        </w:rPr>
        <w:t xml:space="preserve">build on its competitive advantage in sectors like screen, the creative industries and technology. </w:t>
      </w:r>
    </w:p>
    <w:p w14:paraId="2BAF1850" w14:textId="243B9F0A" w:rsidR="30C869A5" w:rsidRDefault="30C869A5" w:rsidP="68952F3F">
      <w:pPr>
        <w:pStyle w:val="Body"/>
        <w:spacing w:after="0" w:line="276" w:lineRule="auto"/>
        <w:rPr>
          <w:rFonts w:eastAsia="MS Gothic" w:cstheme="minorBidi"/>
          <w:sz w:val="24"/>
          <w:szCs w:val="24"/>
        </w:rPr>
      </w:pPr>
    </w:p>
    <w:p w14:paraId="11A8E7B3" w14:textId="48B07720" w:rsidR="45B2468C" w:rsidRDefault="2091C295" w:rsidP="68952F3F">
      <w:pPr>
        <w:pStyle w:val="Body"/>
        <w:spacing w:after="0" w:line="276" w:lineRule="auto"/>
        <w:rPr>
          <w:rFonts w:eastAsia="MS Gothic" w:cstheme="minorBidi"/>
          <w:sz w:val="24"/>
          <w:szCs w:val="24"/>
        </w:rPr>
      </w:pPr>
      <w:r w:rsidRPr="5315B1B2">
        <w:rPr>
          <w:rFonts w:eastAsia="MS Gothic" w:cstheme="minorBidi"/>
          <w:sz w:val="24"/>
          <w:szCs w:val="24"/>
        </w:rPr>
        <w:t>In this context of</w:t>
      </w:r>
      <w:r w:rsidR="59C027AA" w:rsidRPr="68952F3F">
        <w:rPr>
          <w:rFonts w:eastAsia="MS Gothic" w:cstheme="minorBidi"/>
          <w:sz w:val="24"/>
          <w:szCs w:val="24"/>
        </w:rPr>
        <w:t xml:space="preserve"> </w:t>
      </w:r>
      <w:r w:rsidR="50EF4953" w:rsidRPr="29C1E397">
        <w:rPr>
          <w:rFonts w:eastAsia="MS Gothic" w:cstheme="minorBidi"/>
          <w:sz w:val="24"/>
          <w:szCs w:val="24"/>
        </w:rPr>
        <w:t xml:space="preserve">constrained resources and </w:t>
      </w:r>
      <w:r w:rsidR="59C027AA" w:rsidRPr="68952F3F">
        <w:rPr>
          <w:rFonts w:eastAsia="MS Gothic" w:cstheme="minorBidi"/>
          <w:sz w:val="24"/>
          <w:szCs w:val="24"/>
        </w:rPr>
        <w:t xml:space="preserve">global economic uncertainty, </w:t>
      </w:r>
      <w:r w:rsidR="7DEF6297" w:rsidRPr="5315B1B2">
        <w:rPr>
          <w:rFonts w:eastAsia="MS Gothic" w:cstheme="minorBidi"/>
          <w:sz w:val="24"/>
          <w:szCs w:val="24"/>
        </w:rPr>
        <w:t>the Council will need to provide clear strategic direction and act with deliberate focus</w:t>
      </w:r>
      <w:r w:rsidR="7DEF6297" w:rsidRPr="0D339796">
        <w:rPr>
          <w:rFonts w:eastAsia="MS Gothic" w:cstheme="minorBidi"/>
          <w:sz w:val="24"/>
          <w:szCs w:val="24"/>
        </w:rPr>
        <w:t>.</w:t>
      </w:r>
      <w:r w:rsidR="59C027AA" w:rsidRPr="0D339796">
        <w:rPr>
          <w:rFonts w:eastAsia="MS Gothic" w:cstheme="minorBidi"/>
          <w:sz w:val="24"/>
          <w:szCs w:val="24"/>
        </w:rPr>
        <w:t xml:space="preserve"> This</w:t>
      </w:r>
      <w:r w:rsidR="45B2468C" w:rsidRPr="0F03043B" w:rsidDel="45B2468C">
        <w:rPr>
          <w:rFonts w:eastAsia="MS Gothic" w:cstheme="minorBidi"/>
          <w:sz w:val="24"/>
          <w:szCs w:val="24"/>
        </w:rPr>
        <w:t xml:space="preserve"> </w:t>
      </w:r>
      <w:r w:rsidR="38A2BC7A" w:rsidRPr="0F03043B">
        <w:rPr>
          <w:rFonts w:eastAsia="MS Gothic" w:cstheme="minorBidi"/>
          <w:sz w:val="24"/>
          <w:szCs w:val="24"/>
        </w:rPr>
        <w:t xml:space="preserve">involves </w:t>
      </w:r>
      <w:r w:rsidR="3A05C616" w:rsidRPr="0F03043B">
        <w:rPr>
          <w:rFonts w:eastAsia="MS Gothic" w:cstheme="minorBidi"/>
          <w:sz w:val="24"/>
          <w:szCs w:val="24"/>
        </w:rPr>
        <w:t>concentrating</w:t>
      </w:r>
      <w:r w:rsidR="38A2BC7A" w:rsidRPr="0F03043B">
        <w:rPr>
          <w:rFonts w:eastAsia="MS Gothic" w:cstheme="minorBidi"/>
          <w:sz w:val="24"/>
          <w:szCs w:val="24"/>
        </w:rPr>
        <w:t xml:space="preserve"> efforts on interventions with the highest marginal impact and strongest evidence base. Key areas</w:t>
      </w:r>
      <w:r w:rsidR="0FF0962B" w:rsidRPr="0F03043B">
        <w:rPr>
          <w:rFonts w:eastAsia="MS Gothic" w:cstheme="minorBidi"/>
          <w:sz w:val="24"/>
          <w:szCs w:val="24"/>
        </w:rPr>
        <w:t xml:space="preserve"> include</w:t>
      </w:r>
      <w:r w:rsidR="0FF0962B" w:rsidRPr="68952F3F">
        <w:rPr>
          <w:rFonts w:eastAsia="MS Gothic" w:cstheme="minorBidi"/>
          <w:sz w:val="24"/>
          <w:szCs w:val="24"/>
        </w:rPr>
        <w:t xml:space="preserve"> removing barriers to participation across </w:t>
      </w:r>
      <w:r w:rsidR="780C60B3" w:rsidRPr="0F03043B">
        <w:rPr>
          <w:rFonts w:eastAsia="MS Gothic" w:cstheme="minorBidi"/>
          <w:sz w:val="24"/>
          <w:szCs w:val="24"/>
        </w:rPr>
        <w:t>communitie</w:t>
      </w:r>
      <w:r w:rsidR="0FF0962B" w:rsidRPr="0F03043B">
        <w:rPr>
          <w:rFonts w:eastAsia="MS Gothic" w:cstheme="minorBidi"/>
          <w:sz w:val="24"/>
          <w:szCs w:val="24"/>
        </w:rPr>
        <w:t xml:space="preserve">s, </w:t>
      </w:r>
      <w:r w:rsidR="40F53F0E" w:rsidRPr="0F03043B">
        <w:rPr>
          <w:rFonts w:eastAsia="MS Gothic" w:cstheme="minorBidi"/>
          <w:sz w:val="24"/>
          <w:szCs w:val="24"/>
        </w:rPr>
        <w:t xml:space="preserve">improving </w:t>
      </w:r>
      <w:r w:rsidR="0FF0962B" w:rsidRPr="68952F3F">
        <w:rPr>
          <w:rFonts w:eastAsia="MS Gothic" w:cstheme="minorBidi"/>
          <w:sz w:val="24"/>
          <w:szCs w:val="24"/>
        </w:rPr>
        <w:t xml:space="preserve">coordination </w:t>
      </w:r>
      <w:r w:rsidR="662A3395" w:rsidRPr="0F03043B">
        <w:rPr>
          <w:rFonts w:eastAsia="MS Gothic" w:cstheme="minorBidi"/>
          <w:sz w:val="24"/>
          <w:szCs w:val="24"/>
        </w:rPr>
        <w:t>of</w:t>
      </w:r>
      <w:r w:rsidR="0FF0962B" w:rsidRPr="68952F3F">
        <w:rPr>
          <w:rFonts w:eastAsia="MS Gothic" w:cstheme="minorBidi"/>
          <w:sz w:val="24"/>
          <w:szCs w:val="24"/>
        </w:rPr>
        <w:t xml:space="preserve"> roles and responsibilities </w:t>
      </w:r>
      <w:r w:rsidR="468B8609" w:rsidRPr="0F03043B">
        <w:rPr>
          <w:rFonts w:eastAsia="MS Gothic" w:cstheme="minorBidi"/>
          <w:sz w:val="24"/>
          <w:szCs w:val="24"/>
        </w:rPr>
        <w:t xml:space="preserve">between the </w:t>
      </w:r>
      <w:r w:rsidR="0FF0962B" w:rsidRPr="68952F3F">
        <w:rPr>
          <w:rFonts w:eastAsia="MS Gothic" w:cstheme="minorBidi"/>
          <w:sz w:val="24"/>
          <w:szCs w:val="24"/>
        </w:rPr>
        <w:t>Council and Council Controlled Organisations</w:t>
      </w:r>
      <w:r w:rsidR="0FF0962B" w:rsidRPr="0F03043B">
        <w:rPr>
          <w:rFonts w:eastAsia="MS Gothic" w:cstheme="minorBidi"/>
          <w:sz w:val="24"/>
          <w:szCs w:val="24"/>
        </w:rPr>
        <w:t>,</w:t>
      </w:r>
      <w:r w:rsidR="39823B7E" w:rsidRPr="0F03043B">
        <w:rPr>
          <w:rFonts w:eastAsia="MS Gothic" w:cstheme="minorBidi"/>
          <w:sz w:val="24"/>
          <w:szCs w:val="24"/>
        </w:rPr>
        <w:t xml:space="preserve"> strengthening the integration of</w:t>
      </w:r>
      <w:r w:rsidR="0FF0962B" w:rsidRPr="68952F3F">
        <w:rPr>
          <w:rFonts w:eastAsia="MS Gothic" w:cstheme="minorBidi"/>
          <w:sz w:val="24"/>
          <w:szCs w:val="24"/>
        </w:rPr>
        <w:t xml:space="preserve"> data and </w:t>
      </w:r>
      <w:r w:rsidR="22A1777C" w:rsidRPr="0F03043B">
        <w:rPr>
          <w:rFonts w:eastAsia="MS Gothic" w:cstheme="minorBidi"/>
          <w:sz w:val="24"/>
          <w:szCs w:val="24"/>
        </w:rPr>
        <w:t>analytical</w:t>
      </w:r>
      <w:r w:rsidR="0FF0962B" w:rsidRPr="0F03043B">
        <w:rPr>
          <w:rFonts w:eastAsia="MS Gothic" w:cstheme="minorBidi"/>
          <w:sz w:val="24"/>
          <w:szCs w:val="24"/>
        </w:rPr>
        <w:t xml:space="preserve"> </w:t>
      </w:r>
      <w:r w:rsidR="0FF0962B" w:rsidRPr="68952F3F">
        <w:rPr>
          <w:rFonts w:eastAsia="MS Gothic" w:cstheme="minorBidi"/>
          <w:sz w:val="24"/>
          <w:szCs w:val="24"/>
        </w:rPr>
        <w:t xml:space="preserve">insights and </w:t>
      </w:r>
      <w:r w:rsidR="26F7E00A" w:rsidRPr="0F03043B">
        <w:rPr>
          <w:rFonts w:eastAsia="MS Gothic" w:cstheme="minorBidi"/>
          <w:sz w:val="24"/>
          <w:szCs w:val="24"/>
        </w:rPr>
        <w:t>applying</w:t>
      </w:r>
      <w:r w:rsidR="7316E0DE" w:rsidRPr="0F03043B">
        <w:rPr>
          <w:rFonts w:eastAsia="MS Gothic" w:cstheme="minorBidi"/>
          <w:sz w:val="24"/>
          <w:szCs w:val="24"/>
        </w:rPr>
        <w:t xml:space="preserve"> more robust</w:t>
      </w:r>
      <w:r w:rsidR="0FF0962B" w:rsidRPr="68952F3F">
        <w:rPr>
          <w:rFonts w:eastAsia="MS Gothic" w:cstheme="minorBidi"/>
          <w:sz w:val="24"/>
          <w:szCs w:val="24"/>
        </w:rPr>
        <w:t xml:space="preserve"> investment logic</w:t>
      </w:r>
      <w:r w:rsidR="6D50EDE3" w:rsidRPr="0F03043B">
        <w:rPr>
          <w:rFonts w:eastAsia="MS Gothic" w:cstheme="minorBidi"/>
          <w:sz w:val="24"/>
          <w:szCs w:val="24"/>
        </w:rPr>
        <w:t xml:space="preserve"> to guide future decision making</w:t>
      </w:r>
      <w:r w:rsidR="0FF0962B" w:rsidRPr="68952F3F">
        <w:rPr>
          <w:rFonts w:eastAsia="MS Gothic" w:cstheme="minorBidi"/>
          <w:sz w:val="24"/>
          <w:szCs w:val="24"/>
        </w:rPr>
        <w:t xml:space="preserve">.    </w:t>
      </w:r>
    </w:p>
    <w:p w14:paraId="5CAABF8F" w14:textId="24A0D6E8" w:rsidR="30C869A5" w:rsidRDefault="30C869A5" w:rsidP="68952F3F">
      <w:pPr>
        <w:pStyle w:val="Body"/>
        <w:spacing w:after="0" w:line="276" w:lineRule="auto"/>
        <w:rPr>
          <w:rFonts w:eastAsia="MS Gothic" w:cstheme="minorBidi"/>
          <w:sz w:val="24"/>
          <w:szCs w:val="24"/>
        </w:rPr>
      </w:pPr>
    </w:p>
    <w:p w14:paraId="57C4F1AC" w14:textId="14C336D4" w:rsidR="45B2468C" w:rsidRDefault="59C027AA" w:rsidP="4E2CD2AA">
      <w:pPr>
        <w:pStyle w:val="Body"/>
        <w:spacing w:after="0" w:line="276" w:lineRule="auto"/>
        <w:rPr>
          <w:rFonts w:eastAsia="MS Gothic" w:cstheme="minorBidi"/>
          <w:sz w:val="24"/>
          <w:szCs w:val="24"/>
        </w:rPr>
      </w:pPr>
      <w:r w:rsidRPr="4E2CD2AA">
        <w:rPr>
          <w:rFonts w:eastAsia="MS Gothic" w:cstheme="minorBidi"/>
          <w:sz w:val="24"/>
          <w:szCs w:val="24"/>
        </w:rPr>
        <w:t xml:space="preserve">By </w:t>
      </w:r>
      <w:r w:rsidR="371F2B51" w:rsidRPr="4E2CD2AA">
        <w:rPr>
          <w:rFonts w:eastAsia="MS Gothic" w:cstheme="minorBidi"/>
          <w:sz w:val="24"/>
          <w:szCs w:val="24"/>
        </w:rPr>
        <w:t xml:space="preserve">adopting a more targeted and evidence driven approach, the </w:t>
      </w:r>
      <w:r w:rsidR="37B5E261" w:rsidRPr="4E2CD2AA">
        <w:rPr>
          <w:rFonts w:eastAsia="MS Gothic" w:cstheme="minorBidi"/>
          <w:sz w:val="24"/>
          <w:szCs w:val="24"/>
        </w:rPr>
        <w:t>Council</w:t>
      </w:r>
      <w:r w:rsidRPr="4E2CD2AA">
        <w:rPr>
          <w:rFonts w:eastAsia="MS Gothic" w:cstheme="minorBidi"/>
          <w:sz w:val="24"/>
          <w:szCs w:val="24"/>
        </w:rPr>
        <w:t xml:space="preserve"> can make the most of limited resources, address the city’s most pressing challenges, and ensure that economic development efforts directly contribute to long-term wellbeing and resilience for all residents.</w:t>
      </w:r>
    </w:p>
    <w:p w14:paraId="2601A4B4" w14:textId="0B842986" w:rsidR="30C869A5" w:rsidRDefault="30C869A5" w:rsidP="68952F3F">
      <w:pPr>
        <w:pStyle w:val="Body"/>
        <w:spacing w:after="0" w:line="276" w:lineRule="auto"/>
        <w:rPr>
          <w:rFonts w:eastAsia="MS Gothic" w:cstheme="minorBidi"/>
          <w:sz w:val="24"/>
          <w:szCs w:val="24"/>
        </w:rPr>
      </w:pPr>
    </w:p>
    <w:p w14:paraId="3780C4D3" w14:textId="7D937003" w:rsidR="30C869A5" w:rsidRDefault="006A5D0C" w:rsidP="30C869A5">
      <w:pPr>
        <w:pStyle w:val="Body"/>
        <w:spacing w:after="0" w:line="276" w:lineRule="auto"/>
        <w:rPr>
          <w:rFonts w:eastAsia="MS Gothic" w:cstheme="minorBidi"/>
          <w:sz w:val="24"/>
          <w:szCs w:val="24"/>
        </w:rPr>
      </w:pPr>
      <w:r>
        <w:rPr>
          <w:rFonts w:eastAsia="MS Gothic" w:cstheme="minorBidi"/>
          <w:noProof/>
          <w:sz w:val="24"/>
          <w:szCs w:val="24"/>
        </w:rPr>
        <w:drawing>
          <wp:inline distT="0" distB="0" distL="0" distR="0" wp14:anchorId="1C3D1D3A" wp14:editId="7BAD97A0">
            <wp:extent cx="6108299" cy="5352911"/>
            <wp:effectExtent l="0" t="0" r="6985" b="635"/>
            <wp:docPr id="1188534431" name="Picture 1" descr="An image of fireworks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34431" name="Picture 1" descr="An image of fireworks display"/>
                    <pic:cNvPicPr/>
                  </pic:nvPicPr>
                  <pic:blipFill rotWithShape="1">
                    <a:blip r:embed="rId20"/>
                    <a:srcRect l="8011" t="12113" r="14968" b="38839"/>
                    <a:stretch>
                      <a:fillRect/>
                    </a:stretch>
                  </pic:blipFill>
                  <pic:spPr bwMode="auto">
                    <a:xfrm>
                      <a:off x="0" y="0"/>
                      <a:ext cx="6139674" cy="5380406"/>
                    </a:xfrm>
                    <a:prstGeom prst="rect">
                      <a:avLst/>
                    </a:prstGeom>
                    <a:ln>
                      <a:noFill/>
                    </a:ln>
                    <a:extLst>
                      <a:ext uri="{53640926-AAD7-44D8-BBD7-CCE9431645EC}">
                        <a14:shadowObscured xmlns:a14="http://schemas.microsoft.com/office/drawing/2010/main"/>
                      </a:ext>
                    </a:extLst>
                  </pic:spPr>
                </pic:pic>
              </a:graphicData>
            </a:graphic>
          </wp:inline>
        </w:drawing>
      </w:r>
    </w:p>
    <w:p w14:paraId="637DACE0" w14:textId="4D01DFF2" w:rsidR="00FE54F6" w:rsidRPr="00153945" w:rsidRDefault="00FE54F6" w:rsidP="3C7EFEEB">
      <w:pPr>
        <w:pStyle w:val="Heading1"/>
        <w:rPr>
          <w:rFonts w:asciiTheme="minorHAnsi" w:hAnsiTheme="minorHAnsi" w:cstheme="minorBidi"/>
          <w:sz w:val="40"/>
          <w:szCs w:val="40"/>
        </w:rPr>
      </w:pPr>
      <w:bookmarkStart w:id="14" w:name="_Toc223964607"/>
      <w:r w:rsidRPr="3C7EFEEB">
        <w:rPr>
          <w:rFonts w:asciiTheme="minorHAnsi" w:hAnsiTheme="minorHAnsi" w:cstheme="minorBidi"/>
          <w:sz w:val="40"/>
          <w:szCs w:val="40"/>
        </w:rPr>
        <w:t>Current Direction</w:t>
      </w:r>
      <w:bookmarkEnd w:id="14"/>
    </w:p>
    <w:p w14:paraId="675E0675" w14:textId="10C36410" w:rsidR="00FE54F6" w:rsidRPr="00153945" w:rsidRDefault="1FB5F724" w:rsidP="3C7EFEEB">
      <w:pPr>
        <w:pStyle w:val="Heading2"/>
        <w:rPr>
          <w:rFonts w:asciiTheme="minorHAnsi" w:hAnsiTheme="minorHAnsi" w:cstheme="minorBidi"/>
          <w:sz w:val="32"/>
          <w:szCs w:val="32"/>
        </w:rPr>
      </w:pPr>
      <w:bookmarkStart w:id="15" w:name="_Toc223964608"/>
      <w:r w:rsidRPr="3C7EFEEB">
        <w:rPr>
          <w:rFonts w:asciiTheme="minorHAnsi" w:hAnsiTheme="minorHAnsi" w:cstheme="minorBidi"/>
          <w:sz w:val="32"/>
          <w:szCs w:val="32"/>
        </w:rPr>
        <w:t xml:space="preserve">Direction from </w:t>
      </w:r>
      <w:r w:rsidR="08A28888" w:rsidRPr="3C7EFEEB">
        <w:rPr>
          <w:rFonts w:asciiTheme="minorHAnsi" w:hAnsiTheme="minorHAnsi" w:cstheme="minorBidi"/>
          <w:sz w:val="32"/>
          <w:szCs w:val="32"/>
        </w:rPr>
        <w:t>Legislation</w:t>
      </w:r>
      <w:r w:rsidR="23606594" w:rsidRPr="3C7EFEEB">
        <w:rPr>
          <w:rFonts w:asciiTheme="minorHAnsi" w:hAnsiTheme="minorHAnsi" w:cstheme="minorBidi"/>
          <w:sz w:val="32"/>
          <w:szCs w:val="32"/>
        </w:rPr>
        <w:t xml:space="preserve"> and National Regulation</w:t>
      </w:r>
      <w:r w:rsidR="7151B829" w:rsidRPr="3C7EFEEB">
        <w:rPr>
          <w:rFonts w:asciiTheme="minorHAnsi" w:hAnsiTheme="minorHAnsi" w:cstheme="minorBidi"/>
          <w:sz w:val="32"/>
          <w:szCs w:val="32"/>
        </w:rPr>
        <w:t>s</w:t>
      </w:r>
      <w:bookmarkEnd w:id="15"/>
    </w:p>
    <w:p w14:paraId="64A60D32" w14:textId="10B99F03" w:rsidR="004C1714" w:rsidRPr="00E6041E" w:rsidRDefault="223A5BAA" w:rsidP="68952F3F">
      <w:pPr>
        <w:spacing w:line="276" w:lineRule="auto"/>
        <w:rPr>
          <w:rFonts w:cstheme="minorBidi"/>
          <w:sz w:val="24"/>
          <w:szCs w:val="24"/>
        </w:rPr>
      </w:pPr>
      <w:r w:rsidRPr="2F9D2978">
        <w:rPr>
          <w:rFonts w:eastAsia="Arial" w:cstheme="minorBidi"/>
          <w:sz w:val="24"/>
          <w:szCs w:val="24"/>
        </w:rPr>
        <w:t>Councils are required to operate in accordance with a legislative framework that collectively shapes their mandate and responsibilities. Central to this is the Local Government Act 2002</w:t>
      </w:r>
      <w:r w:rsidR="005B58C1" w:rsidRPr="2F9D2978">
        <w:rPr>
          <w:rFonts w:eastAsia="Arial" w:cstheme="minorBidi"/>
          <w:sz w:val="24"/>
          <w:szCs w:val="24"/>
        </w:rPr>
        <w:t xml:space="preserve"> (LGA 2002)</w:t>
      </w:r>
      <w:r w:rsidR="00D16EDB" w:rsidRPr="2F9D2978">
        <w:rPr>
          <w:rFonts w:eastAsia="Arial" w:cstheme="minorBidi"/>
          <w:sz w:val="24"/>
          <w:szCs w:val="24"/>
        </w:rPr>
        <w:t xml:space="preserve"> - which includes that t</w:t>
      </w:r>
      <w:r w:rsidR="004C1714" w:rsidRPr="2F9D2978">
        <w:rPr>
          <w:rFonts w:cstheme="minorBidi"/>
          <w:sz w:val="24"/>
          <w:szCs w:val="24"/>
        </w:rPr>
        <w:t xml:space="preserve">he purpose of local government </w:t>
      </w:r>
      <w:r w:rsidR="00D16EDB" w:rsidRPr="2F9D2978">
        <w:rPr>
          <w:rFonts w:cstheme="minorBidi"/>
          <w:sz w:val="24"/>
          <w:szCs w:val="24"/>
        </w:rPr>
        <w:t>is</w:t>
      </w:r>
      <w:r w:rsidR="004C1714" w:rsidRPr="2F9D2978">
        <w:rPr>
          <w:rFonts w:cstheme="minorBidi"/>
          <w:sz w:val="24"/>
          <w:szCs w:val="24"/>
        </w:rPr>
        <w:t xml:space="preserve"> to promote social, economic, environmental and cultural </w:t>
      </w:r>
      <w:r w:rsidR="79D8C262" w:rsidRPr="2F9D2978">
        <w:rPr>
          <w:rFonts w:cstheme="minorBidi"/>
          <w:sz w:val="24"/>
          <w:szCs w:val="24"/>
        </w:rPr>
        <w:t>wellbeing</w:t>
      </w:r>
      <w:r w:rsidR="004C1714" w:rsidRPr="2F9D2978">
        <w:rPr>
          <w:rFonts w:cstheme="minorBidi"/>
          <w:sz w:val="24"/>
          <w:szCs w:val="24"/>
        </w:rPr>
        <w:t xml:space="preserve"> (the four </w:t>
      </w:r>
      <w:proofErr w:type="spellStart"/>
      <w:r w:rsidR="79D8C262" w:rsidRPr="2F9D2978">
        <w:rPr>
          <w:rFonts w:cstheme="minorBidi"/>
          <w:sz w:val="24"/>
          <w:szCs w:val="24"/>
        </w:rPr>
        <w:t>wellbeings</w:t>
      </w:r>
      <w:proofErr w:type="spellEnd"/>
      <w:r w:rsidR="004C1714" w:rsidRPr="2F9D2978">
        <w:rPr>
          <w:rFonts w:cstheme="minorBidi"/>
          <w:sz w:val="24"/>
          <w:szCs w:val="24"/>
        </w:rPr>
        <w:t xml:space="preserve">) of communities (LGA 2002 section 10 refers). The Local Government (Systems Improvement) Amendment Bill seeks to refocus council responsibilities on core infrastructure and services and remove the four </w:t>
      </w:r>
      <w:proofErr w:type="spellStart"/>
      <w:r w:rsidR="79D8C262" w:rsidRPr="2F9D2978">
        <w:rPr>
          <w:rFonts w:cstheme="minorBidi"/>
          <w:sz w:val="24"/>
          <w:szCs w:val="24"/>
        </w:rPr>
        <w:t>wellbeings</w:t>
      </w:r>
      <w:proofErr w:type="spellEnd"/>
      <w:r w:rsidR="79D8C262" w:rsidRPr="2F9D2978">
        <w:rPr>
          <w:rFonts w:cstheme="minorBidi"/>
          <w:sz w:val="24"/>
          <w:szCs w:val="24"/>
        </w:rPr>
        <w:t>.</w:t>
      </w:r>
      <w:r w:rsidR="004C1714" w:rsidRPr="2F9D2978">
        <w:rPr>
          <w:rFonts w:cstheme="minorBidi"/>
          <w:sz w:val="24"/>
          <w:szCs w:val="24"/>
        </w:rPr>
        <w:t xml:space="preserve"> </w:t>
      </w:r>
    </w:p>
    <w:p w14:paraId="2733A381" w14:textId="15F94F4E" w:rsidR="004C1714" w:rsidRPr="00E6041E" w:rsidRDefault="004C1714" w:rsidP="68952F3F">
      <w:pPr>
        <w:spacing w:line="276" w:lineRule="auto"/>
        <w:rPr>
          <w:rFonts w:cstheme="minorBidi"/>
          <w:sz w:val="24"/>
          <w:szCs w:val="24"/>
        </w:rPr>
      </w:pPr>
    </w:p>
    <w:p w14:paraId="537B6A64" w14:textId="530CD9CC" w:rsidR="004C1714" w:rsidRPr="00E6041E" w:rsidRDefault="004C1714" w:rsidP="00A22A8C">
      <w:pPr>
        <w:spacing w:line="276" w:lineRule="auto"/>
        <w:rPr>
          <w:rFonts w:cstheme="minorBidi"/>
          <w:sz w:val="24"/>
          <w:szCs w:val="24"/>
        </w:rPr>
      </w:pPr>
      <w:r w:rsidRPr="2F9D2978">
        <w:rPr>
          <w:rFonts w:cstheme="minorBidi"/>
          <w:sz w:val="24"/>
          <w:szCs w:val="24"/>
        </w:rPr>
        <w:t>Part of the proposed amended purpose will be:</w:t>
      </w:r>
    </w:p>
    <w:p w14:paraId="55E5723D" w14:textId="77777777" w:rsidR="004C1714" w:rsidRPr="00E6041E" w:rsidRDefault="004C1714" w:rsidP="00E37777">
      <w:pPr>
        <w:pStyle w:val="ListParagraph"/>
        <w:numPr>
          <w:ilvl w:val="0"/>
          <w:numId w:val="28"/>
        </w:numPr>
        <w:spacing w:line="276" w:lineRule="auto"/>
        <w:rPr>
          <w:rFonts w:cstheme="minorBidi"/>
          <w:sz w:val="24"/>
          <w:szCs w:val="24"/>
        </w:rPr>
      </w:pPr>
      <w:r w:rsidRPr="68952F3F">
        <w:rPr>
          <w:rFonts w:cstheme="minorBidi"/>
          <w:sz w:val="24"/>
          <w:szCs w:val="24"/>
        </w:rPr>
        <w:t>10b) to meet the current and future needs of communities for good-quality, cost-effective, and local infrastructure, and public services and performance of regulatory functions</w:t>
      </w:r>
    </w:p>
    <w:p w14:paraId="5E5C79FB" w14:textId="77777777" w:rsidR="004C1714" w:rsidRPr="00E6041E" w:rsidRDefault="004C1714" w:rsidP="00E37777">
      <w:pPr>
        <w:pStyle w:val="ListParagraph"/>
        <w:numPr>
          <w:ilvl w:val="0"/>
          <w:numId w:val="28"/>
        </w:numPr>
        <w:spacing w:line="276" w:lineRule="auto"/>
        <w:rPr>
          <w:rFonts w:cstheme="minorBidi"/>
          <w:sz w:val="24"/>
          <w:szCs w:val="24"/>
        </w:rPr>
      </w:pPr>
      <w:r w:rsidRPr="68952F3F">
        <w:rPr>
          <w:rFonts w:cstheme="minorBidi"/>
          <w:sz w:val="24"/>
          <w:szCs w:val="24"/>
        </w:rPr>
        <w:t>10c) to support local economic growth and development by fulfilling the purpose set out in paragraph b.</w:t>
      </w:r>
    </w:p>
    <w:p w14:paraId="1CC07AA3" w14:textId="77777777" w:rsidR="004C1714" w:rsidRPr="00E6041E" w:rsidRDefault="004C1714" w:rsidP="00A22A8C">
      <w:pPr>
        <w:spacing w:line="276" w:lineRule="auto"/>
        <w:rPr>
          <w:rFonts w:cstheme="minorHAnsi"/>
          <w:sz w:val="24"/>
          <w:szCs w:val="24"/>
        </w:rPr>
      </w:pPr>
    </w:p>
    <w:p w14:paraId="7DADC578" w14:textId="3AB050ED" w:rsidR="004C1714" w:rsidRPr="00E6041E" w:rsidRDefault="004C1714" w:rsidP="00A22A8C">
      <w:pPr>
        <w:pStyle w:val="Body"/>
        <w:spacing w:after="0" w:line="276" w:lineRule="auto"/>
        <w:rPr>
          <w:rFonts w:eastAsia="Arial" w:cstheme="minorHAnsi"/>
          <w:sz w:val="24"/>
          <w:szCs w:val="24"/>
        </w:rPr>
      </w:pPr>
      <w:r w:rsidRPr="00E6041E">
        <w:rPr>
          <w:rFonts w:cstheme="minorHAnsi"/>
          <w:sz w:val="24"/>
          <w:szCs w:val="24"/>
        </w:rPr>
        <w:t>Subject to final amendments to the LGA 2002, the role of the Council in delivering some programmes and services may need to be assessed</w:t>
      </w:r>
      <w:r w:rsidR="00BE29EC">
        <w:rPr>
          <w:rFonts w:cstheme="minorHAnsi"/>
          <w:sz w:val="24"/>
          <w:szCs w:val="24"/>
        </w:rPr>
        <w:t>. T</w:t>
      </w:r>
      <w:r w:rsidRPr="00E6041E">
        <w:rPr>
          <w:rFonts w:cstheme="minorHAnsi"/>
          <w:sz w:val="24"/>
          <w:szCs w:val="24"/>
        </w:rPr>
        <w:t>his would be an incremental process, as any changes to services or levels of service would remain subject to democratic decision-making processes. </w:t>
      </w:r>
    </w:p>
    <w:p w14:paraId="5BE2C412" w14:textId="45AAA92F" w:rsidR="6754A123" w:rsidRPr="00153945" w:rsidRDefault="50266E61" w:rsidP="3C7EFEEB">
      <w:pPr>
        <w:pStyle w:val="Heading2"/>
        <w:rPr>
          <w:rFonts w:asciiTheme="minorHAnsi" w:eastAsia="Arial" w:hAnsiTheme="minorHAnsi" w:cstheme="minorBidi"/>
          <w:color w:val="000000" w:themeColor="text1"/>
          <w:sz w:val="32"/>
          <w:szCs w:val="32"/>
        </w:rPr>
      </w:pPr>
      <w:bookmarkStart w:id="16" w:name="_Toc223964609"/>
      <w:r w:rsidRPr="3C7EFEEB">
        <w:rPr>
          <w:rFonts w:asciiTheme="minorHAnsi" w:hAnsiTheme="minorHAnsi" w:cstheme="minorBidi"/>
          <w:sz w:val="32"/>
          <w:szCs w:val="32"/>
        </w:rPr>
        <w:t>Regional</w:t>
      </w:r>
      <w:r w:rsidR="5DD108EF" w:rsidRPr="3C7EFEEB">
        <w:rPr>
          <w:rFonts w:asciiTheme="minorHAnsi" w:hAnsiTheme="minorHAnsi" w:cstheme="minorBidi"/>
          <w:sz w:val="32"/>
          <w:szCs w:val="32"/>
        </w:rPr>
        <w:t xml:space="preserve"> settings</w:t>
      </w:r>
      <w:bookmarkEnd w:id="16"/>
    </w:p>
    <w:p w14:paraId="3920827C" w14:textId="36BAA0C4" w:rsidR="0E33F12F" w:rsidRPr="00E6041E" w:rsidRDefault="0E33F12F" w:rsidP="00A22A8C">
      <w:pPr>
        <w:pStyle w:val="Body"/>
        <w:spacing w:after="0" w:line="276" w:lineRule="auto"/>
        <w:rPr>
          <w:rFonts w:eastAsia="Arial" w:cstheme="minorBidi"/>
          <w:sz w:val="24"/>
          <w:szCs w:val="24"/>
        </w:rPr>
      </w:pPr>
      <w:r w:rsidRPr="68952F3F">
        <w:rPr>
          <w:rFonts w:eastAsia="Arial" w:cstheme="minorBidi"/>
          <w:sz w:val="24"/>
          <w:szCs w:val="24"/>
        </w:rPr>
        <w:t xml:space="preserve">Councils also operate within a broader regional ecosystem with regional settings that provide direction, as well as coordination, for economic development and recreation initiatives. The Wellington Regional Economic Development Plan (REDP) </w:t>
      </w:r>
      <w:r w:rsidR="0D986F46" w:rsidRPr="68952F3F">
        <w:rPr>
          <w:rFonts w:eastAsia="Arial" w:cstheme="minorBidi"/>
          <w:sz w:val="24"/>
          <w:szCs w:val="24"/>
        </w:rPr>
        <w:t xml:space="preserve">guides the long-term direction of the economy, </w:t>
      </w:r>
      <w:r w:rsidRPr="68952F3F">
        <w:rPr>
          <w:rFonts w:eastAsia="Arial" w:cstheme="minorBidi"/>
          <w:sz w:val="24"/>
          <w:szCs w:val="24"/>
        </w:rPr>
        <w:t>se</w:t>
      </w:r>
      <w:r w:rsidR="71B0AC30" w:rsidRPr="68952F3F">
        <w:rPr>
          <w:rFonts w:eastAsia="Arial" w:cstheme="minorBidi"/>
          <w:sz w:val="24"/>
          <w:szCs w:val="24"/>
        </w:rPr>
        <w:t>t</w:t>
      </w:r>
      <w:r w:rsidRPr="68952F3F">
        <w:rPr>
          <w:rFonts w:eastAsia="Arial" w:cstheme="minorBidi"/>
          <w:sz w:val="24"/>
          <w:szCs w:val="24"/>
        </w:rPr>
        <w:t>t</w:t>
      </w:r>
      <w:r w:rsidR="149276D3" w:rsidRPr="68952F3F">
        <w:rPr>
          <w:rFonts w:eastAsia="Arial" w:cstheme="minorBidi"/>
          <w:sz w:val="24"/>
          <w:szCs w:val="24"/>
        </w:rPr>
        <w:t>ing</w:t>
      </w:r>
      <w:r w:rsidRPr="68952F3F">
        <w:rPr>
          <w:rFonts w:eastAsia="Arial" w:cstheme="minorBidi"/>
          <w:sz w:val="24"/>
          <w:szCs w:val="24"/>
        </w:rPr>
        <w:t xml:space="preserve"> out a shared vision for a thriving, future-focused Wellington regional economy, and identifies priority sectors. </w:t>
      </w:r>
      <w:r w:rsidR="778369AA" w:rsidRPr="68952F3F">
        <w:rPr>
          <w:rFonts w:eastAsia="Arial" w:cstheme="minorBidi"/>
          <w:sz w:val="24"/>
          <w:szCs w:val="24"/>
        </w:rPr>
        <w:t xml:space="preserve">The REDP </w:t>
      </w:r>
      <w:r w:rsidR="0BB19512" w:rsidRPr="68952F3F">
        <w:rPr>
          <w:rFonts w:eastAsia="Arial" w:cstheme="minorBidi"/>
          <w:sz w:val="24"/>
          <w:szCs w:val="24"/>
        </w:rPr>
        <w:t>has identified these</w:t>
      </w:r>
      <w:r w:rsidR="778369AA" w:rsidRPr="68952F3F">
        <w:rPr>
          <w:rFonts w:eastAsia="Arial" w:cstheme="minorBidi"/>
          <w:sz w:val="24"/>
          <w:szCs w:val="24"/>
        </w:rPr>
        <w:t xml:space="preserve"> key sectors for growth</w:t>
      </w:r>
      <w:r w:rsidR="71F7C574" w:rsidRPr="68952F3F">
        <w:rPr>
          <w:rFonts w:eastAsia="Arial" w:cstheme="minorBidi"/>
          <w:sz w:val="24"/>
          <w:szCs w:val="24"/>
        </w:rPr>
        <w:t>:</w:t>
      </w:r>
    </w:p>
    <w:p w14:paraId="733BB390" w14:textId="78AC102C" w:rsidR="778369AA" w:rsidRPr="00E6041E" w:rsidRDefault="778369AA" w:rsidP="00A22A8C">
      <w:pPr>
        <w:pStyle w:val="BodyBulletL1"/>
        <w:spacing w:after="0" w:line="276" w:lineRule="auto"/>
        <w:ind w:left="1066"/>
        <w:rPr>
          <w:rFonts w:eastAsia="Arial" w:cstheme="minorHAnsi"/>
          <w:sz w:val="24"/>
          <w:szCs w:val="24"/>
        </w:rPr>
      </w:pPr>
      <w:r w:rsidRPr="00E6041E">
        <w:rPr>
          <w:rFonts w:eastAsia="Arial" w:cstheme="minorHAnsi"/>
          <w:sz w:val="24"/>
          <w:szCs w:val="24"/>
        </w:rPr>
        <w:t>Screen, creative and digital</w:t>
      </w:r>
    </w:p>
    <w:p w14:paraId="7E5C258E" w14:textId="7BF557ED" w:rsidR="778369AA" w:rsidRPr="00E6041E" w:rsidRDefault="778369AA" w:rsidP="00A22A8C">
      <w:pPr>
        <w:pStyle w:val="BodyBulletL1"/>
        <w:spacing w:after="0" w:line="276" w:lineRule="auto"/>
        <w:ind w:left="1066"/>
        <w:rPr>
          <w:rFonts w:eastAsia="Arial" w:cstheme="minorHAnsi"/>
          <w:sz w:val="24"/>
          <w:szCs w:val="24"/>
        </w:rPr>
      </w:pPr>
      <w:r w:rsidRPr="00E6041E">
        <w:rPr>
          <w:rFonts w:eastAsia="Arial" w:cstheme="minorHAnsi"/>
          <w:sz w:val="24"/>
          <w:szCs w:val="24"/>
        </w:rPr>
        <w:t>Science, technology, engineering, and high-value manufacturing</w:t>
      </w:r>
    </w:p>
    <w:p w14:paraId="048431CB" w14:textId="0E3B0754" w:rsidR="778369AA" w:rsidRPr="00E6041E" w:rsidRDefault="778369AA" w:rsidP="00A22A8C">
      <w:pPr>
        <w:pStyle w:val="BodyBulletL1"/>
        <w:spacing w:after="0" w:line="276" w:lineRule="auto"/>
        <w:ind w:left="1066"/>
        <w:rPr>
          <w:rFonts w:eastAsia="Arial" w:cstheme="minorHAnsi"/>
          <w:sz w:val="24"/>
          <w:szCs w:val="24"/>
        </w:rPr>
      </w:pPr>
      <w:r w:rsidRPr="00E6041E">
        <w:rPr>
          <w:rFonts w:eastAsia="Arial" w:cstheme="minorHAnsi"/>
          <w:sz w:val="24"/>
          <w:szCs w:val="24"/>
        </w:rPr>
        <w:t>Visitor economy</w:t>
      </w:r>
    </w:p>
    <w:p w14:paraId="4212472B" w14:textId="2C7FC759" w:rsidR="002A69AB" w:rsidRPr="00E6041E" w:rsidRDefault="778369AA" w:rsidP="00A22A8C">
      <w:pPr>
        <w:pStyle w:val="BodyBulletL1"/>
        <w:spacing w:after="0" w:line="276" w:lineRule="auto"/>
        <w:ind w:left="1066"/>
        <w:rPr>
          <w:rFonts w:eastAsia="Arial" w:cstheme="minorBidi"/>
          <w:sz w:val="24"/>
          <w:szCs w:val="24"/>
        </w:rPr>
      </w:pPr>
      <w:r w:rsidRPr="68952F3F">
        <w:rPr>
          <w:rFonts w:eastAsia="Arial" w:cstheme="minorBidi"/>
          <w:sz w:val="24"/>
          <w:szCs w:val="24"/>
        </w:rPr>
        <w:t>Primary sector, food, and fibre</w:t>
      </w:r>
      <w:r w:rsidR="18B2CE7B" w:rsidRPr="68952F3F">
        <w:rPr>
          <w:rFonts w:eastAsia="Arial" w:cstheme="minorBidi"/>
          <w:sz w:val="24"/>
          <w:szCs w:val="24"/>
        </w:rPr>
        <w:t>.</w:t>
      </w:r>
    </w:p>
    <w:p w14:paraId="18AE6A8A" w14:textId="77777777" w:rsidR="00A22A8C" w:rsidRDefault="00A22A8C" w:rsidP="00A22A8C">
      <w:pPr>
        <w:pStyle w:val="Body"/>
        <w:spacing w:after="0" w:line="276" w:lineRule="auto"/>
        <w:rPr>
          <w:rFonts w:eastAsia="Arial" w:cstheme="minorHAnsi"/>
          <w:sz w:val="24"/>
          <w:szCs w:val="24"/>
        </w:rPr>
      </w:pPr>
    </w:p>
    <w:p w14:paraId="35DAA9B3" w14:textId="77777777" w:rsidR="00861C11" w:rsidRPr="00E6041E" w:rsidRDefault="015C9FF0" w:rsidP="00A22A8C">
      <w:pPr>
        <w:pStyle w:val="Body"/>
        <w:spacing w:after="0" w:line="276" w:lineRule="auto"/>
        <w:rPr>
          <w:rFonts w:eastAsia="Arial" w:cstheme="minorHAnsi"/>
          <w:sz w:val="24"/>
          <w:szCs w:val="24"/>
        </w:rPr>
      </w:pPr>
      <w:r w:rsidRPr="00E6041E">
        <w:rPr>
          <w:rFonts w:eastAsia="Arial" w:cstheme="minorHAnsi"/>
          <w:sz w:val="24"/>
          <w:szCs w:val="24"/>
        </w:rPr>
        <w:t xml:space="preserve">The plan also highlights key enablers including Māori economic development, education and skills, water </w:t>
      </w:r>
      <w:r w:rsidR="37BC55A7" w:rsidRPr="00E6041E">
        <w:rPr>
          <w:rFonts w:eastAsia="Arial" w:cstheme="minorHAnsi"/>
          <w:sz w:val="24"/>
          <w:szCs w:val="24"/>
        </w:rPr>
        <w:t>accessibility/</w:t>
      </w:r>
      <w:r w:rsidRPr="00E6041E">
        <w:rPr>
          <w:rFonts w:eastAsia="Arial" w:cstheme="minorHAnsi"/>
          <w:sz w:val="24"/>
          <w:szCs w:val="24"/>
        </w:rPr>
        <w:t>security, and resilient infrastructure. Oversight of the REDP is provided by the Wellington Regional Leadership Committee, which ensures strategic alignment across councils.</w:t>
      </w:r>
    </w:p>
    <w:p w14:paraId="293A929D" w14:textId="77777777" w:rsidR="00A22A8C" w:rsidRDefault="00A22A8C" w:rsidP="00A22A8C">
      <w:pPr>
        <w:pStyle w:val="Body"/>
        <w:spacing w:after="0" w:line="276" w:lineRule="auto"/>
        <w:rPr>
          <w:rFonts w:eastAsia="Arial" w:cstheme="minorHAnsi"/>
          <w:sz w:val="24"/>
          <w:szCs w:val="24"/>
        </w:rPr>
      </w:pPr>
    </w:p>
    <w:p w14:paraId="67A06AB1" w14:textId="5EBA8DB1" w:rsidR="4B8174E8" w:rsidRPr="00E6041E" w:rsidRDefault="015C9FF0" w:rsidP="00A22A8C">
      <w:pPr>
        <w:pStyle w:val="Body"/>
        <w:spacing w:after="0" w:line="276" w:lineRule="auto"/>
        <w:rPr>
          <w:rFonts w:eastAsia="Arial" w:cstheme="minorHAnsi"/>
          <w:sz w:val="24"/>
          <w:szCs w:val="24"/>
        </w:rPr>
      </w:pPr>
      <w:r w:rsidRPr="00E6041E">
        <w:rPr>
          <w:rFonts w:eastAsia="Arial" w:cstheme="minorHAnsi"/>
          <w:sz w:val="24"/>
          <w:szCs w:val="24"/>
        </w:rPr>
        <w:t xml:space="preserve">In addition, the Council is expected to give effect to Te Matarau a Māui, a Māori economic development strategy developed with </w:t>
      </w:r>
      <w:bookmarkStart w:id="17" w:name="_Int_FYTwy7q8"/>
      <w:r w:rsidR="146124A6" w:rsidRPr="00E6041E">
        <w:rPr>
          <w:rFonts w:eastAsia="Arial" w:cstheme="minorHAnsi"/>
          <w:sz w:val="24"/>
          <w:szCs w:val="24"/>
        </w:rPr>
        <w:t>m</w:t>
      </w:r>
      <w:r w:rsidR="0D648882" w:rsidRPr="00E6041E">
        <w:rPr>
          <w:rFonts w:eastAsia="Arial" w:cstheme="minorHAnsi"/>
          <w:sz w:val="24"/>
          <w:szCs w:val="24"/>
        </w:rPr>
        <w:t xml:space="preserve">ana </w:t>
      </w:r>
      <w:r w:rsidR="1794D4F6" w:rsidRPr="00E6041E">
        <w:rPr>
          <w:rFonts w:eastAsia="Arial" w:cstheme="minorHAnsi"/>
          <w:sz w:val="24"/>
          <w:szCs w:val="24"/>
        </w:rPr>
        <w:t>w</w:t>
      </w:r>
      <w:r w:rsidR="0D648882" w:rsidRPr="00E6041E">
        <w:rPr>
          <w:rFonts w:eastAsia="Arial" w:cstheme="minorHAnsi"/>
          <w:sz w:val="24"/>
          <w:szCs w:val="24"/>
        </w:rPr>
        <w:t>henua</w:t>
      </w:r>
      <w:bookmarkEnd w:id="17"/>
      <w:r w:rsidRPr="00E6041E">
        <w:rPr>
          <w:rFonts w:eastAsia="Arial" w:cstheme="minorHAnsi"/>
          <w:sz w:val="24"/>
          <w:szCs w:val="24"/>
        </w:rPr>
        <w:t>. This strategy outlines opportunities for iwi and Māori business growth, investment in education and employment, and the development of innovative infrastructure.</w:t>
      </w:r>
    </w:p>
    <w:p w14:paraId="403C61A1" w14:textId="3F9B55F5" w:rsidR="7E6BD156" w:rsidRPr="00A22A8C" w:rsidRDefault="2EF30401" w:rsidP="3C7EFEEB">
      <w:pPr>
        <w:pStyle w:val="Heading2"/>
        <w:rPr>
          <w:rFonts w:asciiTheme="minorHAnsi" w:hAnsiTheme="minorHAnsi" w:cstheme="minorBidi"/>
          <w:sz w:val="32"/>
          <w:szCs w:val="32"/>
        </w:rPr>
      </w:pPr>
      <w:bookmarkStart w:id="18" w:name="_Toc223964610"/>
      <w:r w:rsidRPr="3C7EFEEB">
        <w:rPr>
          <w:rFonts w:asciiTheme="minorHAnsi" w:hAnsiTheme="minorHAnsi" w:cstheme="minorBidi"/>
          <w:sz w:val="32"/>
          <w:szCs w:val="32"/>
        </w:rPr>
        <w:t>Wellington City Council s</w:t>
      </w:r>
      <w:r w:rsidR="3D2F2B0A" w:rsidRPr="3C7EFEEB">
        <w:rPr>
          <w:rFonts w:asciiTheme="minorHAnsi" w:hAnsiTheme="minorHAnsi" w:cstheme="minorBidi"/>
          <w:sz w:val="32"/>
          <w:szCs w:val="32"/>
        </w:rPr>
        <w:t>ettings</w:t>
      </w:r>
      <w:bookmarkEnd w:id="18"/>
    </w:p>
    <w:p w14:paraId="3A8FDF8F" w14:textId="77777777" w:rsidR="00572584" w:rsidRPr="00E6041E" w:rsidRDefault="072863CD" w:rsidP="00A22A8C">
      <w:pPr>
        <w:pStyle w:val="Body"/>
        <w:spacing w:after="0" w:line="276" w:lineRule="auto"/>
        <w:rPr>
          <w:rFonts w:eastAsia="Arial" w:cstheme="minorHAnsi"/>
          <w:sz w:val="24"/>
          <w:szCs w:val="24"/>
        </w:rPr>
      </w:pPr>
      <w:r w:rsidRPr="00E6041E">
        <w:rPr>
          <w:rFonts w:eastAsia="Arial" w:cstheme="minorHAnsi"/>
          <w:sz w:val="24"/>
          <w:szCs w:val="24"/>
        </w:rPr>
        <w:t>The Council has developed a range of strategies that guide its approach to supporting the city’s economic development. These strategies reflect local priorities and are aligned with both legislative and regional frameworks.</w:t>
      </w:r>
    </w:p>
    <w:p w14:paraId="535B33DF" w14:textId="77777777" w:rsidR="00A22A8C" w:rsidRPr="005144AD" w:rsidRDefault="00A22A8C" w:rsidP="005144AD">
      <w:pPr>
        <w:pStyle w:val="Body"/>
        <w:rPr>
          <w:sz w:val="24"/>
          <w:szCs w:val="24"/>
        </w:rPr>
      </w:pPr>
    </w:p>
    <w:p w14:paraId="0B23EB36" w14:textId="241564DC" w:rsidR="00156E43" w:rsidRPr="00A22A8C" w:rsidRDefault="00156E43" w:rsidP="3C7EFEEB">
      <w:pPr>
        <w:pStyle w:val="Heading3"/>
        <w:spacing w:before="0" w:after="0" w:line="276" w:lineRule="auto"/>
        <w:rPr>
          <w:rFonts w:asciiTheme="minorHAnsi" w:hAnsiTheme="minorHAnsi" w:cstheme="minorBidi"/>
          <w:sz w:val="24"/>
          <w:szCs w:val="24"/>
        </w:rPr>
      </w:pPr>
      <w:bookmarkStart w:id="19" w:name="_Toc223964611"/>
      <w:r w:rsidRPr="3C7EFEEB">
        <w:rPr>
          <w:rFonts w:asciiTheme="minorHAnsi" w:hAnsiTheme="minorHAnsi" w:cstheme="minorBidi"/>
          <w:sz w:val="24"/>
          <w:szCs w:val="24"/>
        </w:rPr>
        <w:t xml:space="preserve">He </w:t>
      </w:r>
      <w:proofErr w:type="spellStart"/>
      <w:r w:rsidRPr="3C7EFEEB">
        <w:rPr>
          <w:rFonts w:asciiTheme="minorHAnsi" w:hAnsiTheme="minorHAnsi" w:cstheme="minorBidi"/>
          <w:sz w:val="24"/>
          <w:szCs w:val="24"/>
        </w:rPr>
        <w:t>Rautaki</w:t>
      </w:r>
      <w:proofErr w:type="spellEnd"/>
      <w:r w:rsidRPr="3C7EFEEB">
        <w:rPr>
          <w:rFonts w:asciiTheme="minorHAnsi" w:hAnsiTheme="minorHAnsi" w:cstheme="minorBidi"/>
          <w:sz w:val="24"/>
          <w:szCs w:val="24"/>
        </w:rPr>
        <w:t xml:space="preserve"> </w:t>
      </w:r>
      <w:proofErr w:type="spellStart"/>
      <w:r w:rsidRPr="3C7EFEEB">
        <w:rPr>
          <w:rFonts w:asciiTheme="minorHAnsi" w:hAnsiTheme="minorHAnsi" w:cstheme="minorBidi"/>
          <w:sz w:val="24"/>
          <w:szCs w:val="24"/>
        </w:rPr>
        <w:t>Ōhanga</w:t>
      </w:r>
      <w:proofErr w:type="spellEnd"/>
      <w:r w:rsidRPr="3C7EFEEB">
        <w:rPr>
          <w:rFonts w:asciiTheme="minorHAnsi" w:hAnsiTheme="minorHAnsi" w:cstheme="minorBidi"/>
          <w:sz w:val="24"/>
          <w:szCs w:val="24"/>
        </w:rPr>
        <w:t xml:space="preserve"> Oranga </w:t>
      </w:r>
      <w:r w:rsidR="006729F8" w:rsidRPr="3C7EFEEB">
        <w:rPr>
          <w:rFonts w:asciiTheme="minorHAnsi" w:hAnsiTheme="minorHAnsi" w:cstheme="minorBidi"/>
          <w:sz w:val="24"/>
          <w:szCs w:val="24"/>
        </w:rPr>
        <w:t>-</w:t>
      </w:r>
      <w:r w:rsidRPr="3C7EFEEB">
        <w:rPr>
          <w:rFonts w:asciiTheme="minorHAnsi" w:hAnsiTheme="minorHAnsi" w:cstheme="minorBidi"/>
          <w:sz w:val="24"/>
          <w:szCs w:val="24"/>
        </w:rPr>
        <w:t xml:space="preserve"> The Economic Wellbeing Strategy</w:t>
      </w:r>
      <w:bookmarkEnd w:id="19"/>
    </w:p>
    <w:p w14:paraId="3B0C1549" w14:textId="77777777" w:rsidR="007D112A" w:rsidRDefault="002452A6" w:rsidP="00A22A8C">
      <w:pPr>
        <w:pStyle w:val="Body"/>
        <w:spacing w:after="0" w:line="276" w:lineRule="auto"/>
        <w:rPr>
          <w:rFonts w:eastAsia="MS Gothic" w:cstheme="minorHAnsi"/>
          <w:sz w:val="24"/>
          <w:szCs w:val="24"/>
        </w:rPr>
      </w:pPr>
      <w:r w:rsidRPr="00E6041E">
        <w:rPr>
          <w:rFonts w:eastAsia="MS Gothic" w:cstheme="minorHAnsi"/>
          <w:sz w:val="24"/>
          <w:szCs w:val="24"/>
        </w:rPr>
        <w:t>Th</w:t>
      </w:r>
      <w:r w:rsidR="0096607C">
        <w:rPr>
          <w:rFonts w:eastAsia="MS Gothic" w:cstheme="minorHAnsi"/>
          <w:sz w:val="24"/>
          <w:szCs w:val="24"/>
        </w:rPr>
        <w:t>is</w:t>
      </w:r>
      <w:r w:rsidRPr="00E6041E">
        <w:rPr>
          <w:rFonts w:eastAsia="MS Gothic" w:cstheme="minorHAnsi"/>
          <w:sz w:val="24"/>
          <w:szCs w:val="24"/>
        </w:rPr>
        <w:t xml:space="preserve"> strategy was developed during a time of significant change, including the impacts of the C</w:t>
      </w:r>
      <w:r w:rsidR="2B22A9BE" w:rsidRPr="00E6041E">
        <w:rPr>
          <w:rFonts w:eastAsia="MS Gothic" w:cstheme="minorHAnsi"/>
          <w:sz w:val="24"/>
          <w:szCs w:val="24"/>
        </w:rPr>
        <w:t>ovid</w:t>
      </w:r>
      <w:r w:rsidRPr="00E6041E">
        <w:rPr>
          <w:rFonts w:eastAsia="MS Gothic" w:cstheme="minorHAnsi"/>
          <w:sz w:val="24"/>
          <w:szCs w:val="24"/>
        </w:rPr>
        <w:t>-19 pandemic. It stresses that economic development is crucial for helping the city recover and build resilience against future shocks. Economic development activities are positioned as essential for ensuring Wellington remains a vibrant, prosperous city. This includes fostering collaboration between the Council, businesses, and communities to deliver long-term economic wellbeing. The strategy acknowledges global trends and local challenges</w:t>
      </w:r>
      <w:r w:rsidR="00B91746" w:rsidRPr="00E6041E">
        <w:rPr>
          <w:rFonts w:eastAsia="MS Gothic" w:cstheme="minorHAnsi"/>
          <w:sz w:val="24"/>
          <w:szCs w:val="24"/>
        </w:rPr>
        <w:t xml:space="preserve">, </w:t>
      </w:r>
      <w:r w:rsidRPr="00E6041E">
        <w:rPr>
          <w:rFonts w:eastAsia="MS Gothic" w:cstheme="minorHAnsi"/>
          <w:sz w:val="24"/>
          <w:szCs w:val="24"/>
        </w:rPr>
        <w:t>such as climate change, technological shifts, and demographic changes</w:t>
      </w:r>
      <w:r w:rsidR="00B91746" w:rsidRPr="00E6041E">
        <w:rPr>
          <w:rFonts w:eastAsia="MS Gothic" w:cstheme="minorHAnsi"/>
          <w:sz w:val="24"/>
          <w:szCs w:val="24"/>
        </w:rPr>
        <w:t xml:space="preserve">, </w:t>
      </w:r>
      <w:r w:rsidRPr="00E6041E">
        <w:rPr>
          <w:rFonts w:eastAsia="MS Gothic" w:cstheme="minorHAnsi"/>
          <w:sz w:val="24"/>
          <w:szCs w:val="24"/>
        </w:rPr>
        <w:t>and frames economic development as a proactive response to these pressures.</w:t>
      </w:r>
    </w:p>
    <w:p w14:paraId="449BD26C" w14:textId="6D0A3124" w:rsidR="002452A6" w:rsidRPr="00E6041E" w:rsidRDefault="002452A6" w:rsidP="00A22A8C">
      <w:pPr>
        <w:pStyle w:val="Body"/>
        <w:spacing w:after="0" w:line="276" w:lineRule="auto"/>
        <w:rPr>
          <w:rFonts w:eastAsia="MS Gothic" w:cstheme="minorHAnsi"/>
          <w:sz w:val="24"/>
          <w:szCs w:val="24"/>
        </w:rPr>
      </w:pPr>
      <w:r w:rsidRPr="00E6041E">
        <w:rPr>
          <w:rFonts w:eastAsia="MS Gothic" w:cstheme="minorHAnsi"/>
          <w:sz w:val="24"/>
          <w:szCs w:val="24"/>
        </w:rPr>
        <w:t xml:space="preserve"> </w:t>
      </w:r>
    </w:p>
    <w:p w14:paraId="4C0ABACF" w14:textId="2100B05F" w:rsidR="00C36CA8" w:rsidRDefault="00B91746" w:rsidP="00A22A8C">
      <w:pPr>
        <w:pStyle w:val="Body"/>
        <w:spacing w:after="0" w:line="276" w:lineRule="auto"/>
        <w:rPr>
          <w:rFonts w:eastAsia="MS Gothic" w:cstheme="minorHAnsi"/>
          <w:sz w:val="24"/>
          <w:szCs w:val="24"/>
        </w:rPr>
      </w:pPr>
      <w:r w:rsidRPr="00E6041E">
        <w:rPr>
          <w:rFonts w:eastAsia="MS Gothic" w:cstheme="minorHAnsi"/>
          <w:sz w:val="24"/>
          <w:szCs w:val="24"/>
        </w:rPr>
        <w:t>The e</w:t>
      </w:r>
      <w:r w:rsidR="002452A6" w:rsidRPr="00E6041E">
        <w:rPr>
          <w:rFonts w:eastAsia="MS Gothic" w:cstheme="minorHAnsi"/>
          <w:sz w:val="24"/>
          <w:szCs w:val="24"/>
        </w:rPr>
        <w:t xml:space="preserve">conomic </w:t>
      </w:r>
      <w:r w:rsidRPr="00E6041E">
        <w:rPr>
          <w:rFonts w:eastAsia="MS Gothic" w:cstheme="minorHAnsi"/>
          <w:sz w:val="24"/>
          <w:szCs w:val="24"/>
        </w:rPr>
        <w:t xml:space="preserve">wellbeing strategy has </w:t>
      </w:r>
      <w:r w:rsidR="002452A6" w:rsidRPr="00E6041E">
        <w:rPr>
          <w:rFonts w:eastAsia="MS Gothic" w:cstheme="minorHAnsi"/>
          <w:sz w:val="24"/>
          <w:szCs w:val="24"/>
        </w:rPr>
        <w:t>six strategic outcomes</w:t>
      </w:r>
      <w:r w:rsidRPr="00E6041E">
        <w:rPr>
          <w:rFonts w:eastAsia="MS Gothic" w:cstheme="minorHAnsi"/>
          <w:sz w:val="24"/>
          <w:szCs w:val="24"/>
        </w:rPr>
        <w:t>.</w:t>
      </w:r>
      <w:r w:rsidR="002452A6" w:rsidRPr="00E6041E">
        <w:rPr>
          <w:rFonts w:eastAsia="MS Gothic" w:cstheme="minorHAnsi"/>
          <w:sz w:val="24"/>
          <w:szCs w:val="24"/>
        </w:rPr>
        <w:t xml:space="preserve"> These outcomes show that economic development is not just about growth but also about social, environmental, and cultural wellbeing.</w:t>
      </w:r>
    </w:p>
    <w:p w14:paraId="2026585C" w14:textId="77777777" w:rsidR="00FF3D35" w:rsidRPr="00E6041E" w:rsidRDefault="00FF3D35" w:rsidP="00A22A8C">
      <w:pPr>
        <w:pStyle w:val="Body"/>
        <w:spacing w:after="0" w:line="276" w:lineRule="auto"/>
        <w:rPr>
          <w:rFonts w:eastAsia="MS Gothic" w:cstheme="minorHAnsi"/>
          <w:sz w:val="24"/>
          <w:szCs w:val="24"/>
        </w:rPr>
      </w:pPr>
    </w:p>
    <w:p w14:paraId="4928E189" w14:textId="74F3A533" w:rsidR="19D146C7" w:rsidRDefault="00FF3D35" w:rsidP="19D146C7">
      <w:pPr>
        <w:pStyle w:val="Body"/>
        <w:rPr>
          <w:rFonts w:eastAsia="MS Gothic" w:cstheme="minorHAnsi"/>
          <w:sz w:val="24"/>
          <w:szCs w:val="24"/>
        </w:rPr>
      </w:pPr>
      <w:r>
        <w:rPr>
          <w:rFonts w:eastAsia="MS Gothic" w:cstheme="minorHAnsi"/>
          <w:noProof/>
          <w:sz w:val="24"/>
          <w:szCs w:val="24"/>
        </w:rPr>
        <w:drawing>
          <wp:inline distT="0" distB="0" distL="0" distR="0" wp14:anchorId="42158BC4" wp14:editId="5007CB15">
            <wp:extent cx="6116955" cy="4079875"/>
            <wp:effectExtent l="0" t="0" r="0" b="0"/>
            <wp:docPr id="935256821" name="Picture 2" descr="Photograph of a live outdoor concert featuring a three-member band performing on a stage with purple and pink lighting effects and smoke. The stage has a curved metal frame with multiple spotlights, and the band includes two guitarists and a voc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56821" name="Picture 2" descr="Photograph of a live outdoor concert featuring a three-member band performing on a stage with purple and pink lighting effects and smoke. The stage has a curved metal frame with multiple spotlights, and the band includes two guitarists and a vocalist."/>
                    <pic:cNvPicPr/>
                  </pic:nvPicPr>
                  <pic:blipFill>
                    <a:blip r:embed="rId21"/>
                    <a:stretch>
                      <a:fillRect/>
                    </a:stretch>
                  </pic:blipFill>
                  <pic:spPr>
                    <a:xfrm>
                      <a:off x="0" y="0"/>
                      <a:ext cx="6116955" cy="4079875"/>
                    </a:xfrm>
                    <a:prstGeom prst="rect">
                      <a:avLst/>
                    </a:prstGeom>
                  </pic:spPr>
                </pic:pic>
              </a:graphicData>
            </a:graphic>
          </wp:inline>
        </w:drawing>
      </w:r>
    </w:p>
    <w:p w14:paraId="17EA4C8B" w14:textId="77777777" w:rsidR="00FF3D35" w:rsidRDefault="00FF3D35" w:rsidP="19D146C7">
      <w:pPr>
        <w:pStyle w:val="Body"/>
        <w:rPr>
          <w:rFonts w:eastAsia="MS Gothic" w:cstheme="minorHAnsi"/>
          <w:sz w:val="24"/>
          <w:szCs w:val="24"/>
        </w:rPr>
      </w:pPr>
    </w:p>
    <w:p w14:paraId="1ACD24C0" w14:textId="77777777" w:rsidR="00FF3D35" w:rsidRPr="00E6041E" w:rsidRDefault="00FF3D35" w:rsidP="19D146C7">
      <w:pPr>
        <w:pStyle w:val="Body"/>
        <w:rPr>
          <w:rFonts w:eastAsia="MS Gothic" w:cstheme="minorHAnsi"/>
          <w:sz w:val="24"/>
          <w:szCs w:val="24"/>
        </w:rPr>
      </w:pPr>
    </w:p>
    <w:tbl>
      <w:tblPr>
        <w:tblStyle w:val="TableGrid"/>
        <w:tblW w:w="0" w:type="auto"/>
        <w:tblLook w:val="05A0" w:firstRow="1" w:lastRow="0" w:firstColumn="1" w:lastColumn="1" w:noHBand="0" w:noVBand="1"/>
      </w:tblPr>
      <w:tblGrid>
        <w:gridCol w:w="2122"/>
        <w:gridCol w:w="7501"/>
      </w:tblGrid>
      <w:tr w:rsidR="006475EA" w:rsidRPr="00E6041E" w14:paraId="72275EF9" w14:textId="77777777" w:rsidTr="4E0FE161">
        <w:trPr>
          <w:cnfStyle w:val="100000000000" w:firstRow="1" w:lastRow="0" w:firstColumn="0" w:lastColumn="0" w:oddVBand="0" w:evenVBand="0" w:oddHBand="0" w:evenHBand="0" w:firstRowFirstColumn="0" w:firstRowLastColumn="0" w:lastRowFirstColumn="0" w:lastRowLastColumn="0"/>
          <w:trHeight w:val="300"/>
        </w:trPr>
        <w:tc>
          <w:tcPr>
            <w:tcW w:w="2122" w:type="dxa"/>
            <w:tcBorders>
              <w:top w:val="nil"/>
              <w:bottom w:val="nil"/>
            </w:tcBorders>
          </w:tcPr>
          <w:p w14:paraId="37792AEB" w14:textId="6B736DBE" w:rsidR="00C36CA8" w:rsidRPr="00E6041E" w:rsidRDefault="602ABCEA" w:rsidP="4E0FE161">
            <w:pPr>
              <w:rPr>
                <w:rFonts w:asciiTheme="minorHAnsi" w:hAnsiTheme="minorHAnsi" w:cstheme="minorHAnsi"/>
                <w:sz w:val="24"/>
                <w:szCs w:val="24"/>
              </w:rPr>
            </w:pPr>
            <w:r w:rsidRPr="00E6041E">
              <w:rPr>
                <w:rFonts w:asciiTheme="minorHAnsi" w:hAnsiTheme="minorHAnsi" w:cstheme="minorHAnsi"/>
                <w:sz w:val="24"/>
                <w:szCs w:val="24"/>
              </w:rPr>
              <w:t>Outcome</w:t>
            </w:r>
          </w:p>
        </w:tc>
        <w:tc>
          <w:tcPr>
            <w:tcW w:w="7501" w:type="dxa"/>
            <w:tcBorders>
              <w:top w:val="nil"/>
              <w:bottom w:val="nil"/>
            </w:tcBorders>
          </w:tcPr>
          <w:p w14:paraId="3E703829" w14:textId="4645F275" w:rsidR="00C36CA8" w:rsidRPr="00E6041E" w:rsidRDefault="602ABCEA" w:rsidP="4E0FE161">
            <w:pPr>
              <w:rPr>
                <w:rFonts w:asciiTheme="minorHAnsi" w:hAnsiTheme="minorHAnsi" w:cstheme="minorHAnsi"/>
                <w:sz w:val="24"/>
                <w:szCs w:val="24"/>
              </w:rPr>
            </w:pPr>
            <w:r w:rsidRPr="00E6041E">
              <w:rPr>
                <w:rFonts w:asciiTheme="minorHAnsi" w:hAnsiTheme="minorHAnsi" w:cstheme="minorHAnsi"/>
                <w:sz w:val="24"/>
                <w:szCs w:val="24"/>
              </w:rPr>
              <w:t>Strategic Approaches</w:t>
            </w:r>
          </w:p>
        </w:tc>
      </w:tr>
      <w:tr w:rsidR="00C03EAD" w:rsidRPr="00E6041E" w14:paraId="38B7E640" w14:textId="77777777" w:rsidTr="4E0FE161">
        <w:trPr>
          <w:trHeight w:val="300"/>
        </w:trPr>
        <w:tc>
          <w:tcPr>
            <w:tcW w:w="2122" w:type="dxa"/>
            <w:tcBorders>
              <w:top w:val="nil"/>
            </w:tcBorders>
          </w:tcPr>
          <w:p w14:paraId="506F315C" w14:textId="057875FF" w:rsidR="00C36CA8" w:rsidRPr="00E6041E" w:rsidRDefault="602ABCEA" w:rsidP="00A22A8C">
            <w:p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Sustainable business and career pathways</w:t>
            </w:r>
          </w:p>
        </w:tc>
        <w:tc>
          <w:tcPr>
            <w:tcW w:w="7501" w:type="dxa"/>
            <w:tcBorders>
              <w:top w:val="nil"/>
            </w:tcBorders>
          </w:tcPr>
          <w:p w14:paraId="6C4B668A" w14:textId="5D2F3E34" w:rsidR="004129C9" w:rsidRPr="00E6041E" w:rsidRDefault="602ABCEA" w:rsidP="00A22A8C">
            <w:pPr>
              <w:pStyle w:val="ListParagraph"/>
              <w:numPr>
                <w:ilvl w:val="0"/>
                <w:numId w:val="14"/>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 xml:space="preserve">Facilitate connections and collaboration between </w:t>
            </w:r>
            <w:r w:rsidR="007D112A">
              <w:rPr>
                <w:rFonts w:asciiTheme="minorHAnsi" w:eastAsiaTheme="minorEastAsia" w:hAnsiTheme="minorHAnsi" w:cstheme="minorHAnsi"/>
                <w:sz w:val="24"/>
                <w:szCs w:val="24"/>
              </w:rPr>
              <w:t xml:space="preserve">the </w:t>
            </w:r>
            <w:r w:rsidRPr="00E6041E">
              <w:rPr>
                <w:rFonts w:asciiTheme="minorHAnsi" w:eastAsiaTheme="minorEastAsia" w:hAnsiTheme="minorHAnsi" w:cstheme="minorHAnsi"/>
                <w:sz w:val="24"/>
                <w:szCs w:val="24"/>
              </w:rPr>
              <w:t>Council, employers, educators and others</w:t>
            </w:r>
          </w:p>
          <w:p w14:paraId="05E40BAD" w14:textId="18A09E6D" w:rsidR="004129C9" w:rsidRPr="00E6041E" w:rsidRDefault="602ABCEA" w:rsidP="00A22A8C">
            <w:pPr>
              <w:pStyle w:val="ListParagraph"/>
              <w:numPr>
                <w:ilvl w:val="0"/>
                <w:numId w:val="14"/>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Facilitate and enable rangatahi, young people and the disabled community into sustainable and fulfilling careers</w:t>
            </w:r>
          </w:p>
          <w:p w14:paraId="54C58624" w14:textId="6DBCFA87" w:rsidR="00C36CA8" w:rsidRPr="00E6041E" w:rsidRDefault="602ABCEA" w:rsidP="00A22A8C">
            <w:pPr>
              <w:pStyle w:val="ListParagraph"/>
              <w:numPr>
                <w:ilvl w:val="0"/>
                <w:numId w:val="14"/>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Encourage safe and inclusive workplace environments</w:t>
            </w:r>
          </w:p>
        </w:tc>
      </w:tr>
      <w:tr w:rsidR="009955F3" w:rsidRPr="00E6041E" w14:paraId="70AE7940" w14:textId="77777777" w:rsidTr="4E0FE161">
        <w:trPr>
          <w:trHeight w:val="300"/>
        </w:trPr>
        <w:tc>
          <w:tcPr>
            <w:tcW w:w="2122" w:type="dxa"/>
          </w:tcPr>
          <w:p w14:paraId="28A85E64" w14:textId="05DB3DF7" w:rsidR="00C36CA8" w:rsidRPr="00E6041E" w:rsidRDefault="602ABCEA" w:rsidP="00A22A8C">
            <w:p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Transitioning to a zero</w:t>
            </w:r>
            <w:r w:rsidR="63336659" w:rsidRPr="00E6041E">
              <w:rPr>
                <w:rFonts w:asciiTheme="minorHAnsi" w:eastAsiaTheme="minorEastAsia" w:hAnsiTheme="minorHAnsi" w:cstheme="minorHAnsi"/>
                <w:sz w:val="24"/>
                <w:szCs w:val="24"/>
              </w:rPr>
              <w:t>-</w:t>
            </w:r>
            <w:r w:rsidRPr="00E6041E">
              <w:rPr>
                <w:rFonts w:asciiTheme="minorHAnsi" w:eastAsiaTheme="minorEastAsia" w:hAnsiTheme="minorHAnsi" w:cstheme="minorHAnsi"/>
                <w:sz w:val="24"/>
                <w:szCs w:val="24"/>
              </w:rPr>
              <w:t>carbon circular economy</w:t>
            </w:r>
          </w:p>
        </w:tc>
        <w:tc>
          <w:tcPr>
            <w:tcW w:w="7501" w:type="dxa"/>
          </w:tcPr>
          <w:p w14:paraId="45A95961" w14:textId="77777777" w:rsidR="004129C9"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Enable a circular economy through zero waste, zero carbon initiatives and capability development</w:t>
            </w:r>
          </w:p>
          <w:p w14:paraId="3374FA5E" w14:textId="77777777" w:rsidR="00E91BDB"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Facilitate the social dimension of a circular economy</w:t>
            </w:r>
          </w:p>
          <w:p w14:paraId="5E39F665" w14:textId="29B5BF4B" w:rsidR="00C36CA8"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Promote Wellington businesses to attract investment, spending, and tourism that delivers a circular economy</w:t>
            </w:r>
          </w:p>
        </w:tc>
      </w:tr>
      <w:tr w:rsidR="009955F3" w:rsidRPr="00E6041E" w14:paraId="11452984" w14:textId="77777777" w:rsidTr="4E0FE161">
        <w:trPr>
          <w:trHeight w:val="300"/>
        </w:trPr>
        <w:tc>
          <w:tcPr>
            <w:tcW w:w="2122" w:type="dxa"/>
          </w:tcPr>
          <w:p w14:paraId="7DBD9FAC" w14:textId="4B3F8A6D" w:rsidR="00C36CA8" w:rsidRPr="00E6041E" w:rsidRDefault="602ABCEA" w:rsidP="00A22A8C">
            <w:p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Centre of creativity and digital innovation</w:t>
            </w:r>
          </w:p>
        </w:tc>
        <w:tc>
          <w:tcPr>
            <w:tcW w:w="7501" w:type="dxa"/>
          </w:tcPr>
          <w:p w14:paraId="7EA94A57" w14:textId="77777777" w:rsidR="00C66062"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Utilise creativity and innovation to pave the way to economic wellbeing</w:t>
            </w:r>
          </w:p>
          <w:p w14:paraId="6836209B" w14:textId="77777777" w:rsidR="00BF71A3"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Enable our Screen Sector</w:t>
            </w:r>
          </w:p>
          <w:p w14:paraId="6EA37ED2" w14:textId="014E4BD7" w:rsidR="00C36CA8"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Modernise our city venues</w:t>
            </w:r>
          </w:p>
        </w:tc>
      </w:tr>
      <w:tr w:rsidR="009955F3" w:rsidRPr="00E6041E" w14:paraId="34490DEF" w14:textId="77777777" w:rsidTr="4E0FE161">
        <w:trPr>
          <w:trHeight w:val="300"/>
        </w:trPr>
        <w:tc>
          <w:tcPr>
            <w:tcW w:w="2122" w:type="dxa"/>
          </w:tcPr>
          <w:p w14:paraId="6AF4E241" w14:textId="2B0ECA1C" w:rsidR="00C36CA8" w:rsidRPr="00E6041E" w:rsidRDefault="602ABCEA" w:rsidP="00A22A8C">
            <w:p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A business-friendly city</w:t>
            </w:r>
          </w:p>
        </w:tc>
        <w:tc>
          <w:tcPr>
            <w:tcW w:w="7501" w:type="dxa"/>
          </w:tcPr>
          <w:p w14:paraId="4189F479" w14:textId="77777777" w:rsidR="00BF71A3" w:rsidRPr="00E6041E" w:rsidRDefault="602ABCEA" w:rsidP="00A22A8C">
            <w:pPr>
              <w:pStyle w:val="ListParagraph"/>
              <w:numPr>
                <w:ilvl w:val="0"/>
                <w:numId w:val="16"/>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Deliver business capability and assistance programmes</w:t>
            </w:r>
          </w:p>
          <w:p w14:paraId="1DC9A94E" w14:textId="77777777" w:rsidR="00BF71A3" w:rsidRPr="00E6041E" w:rsidRDefault="602ABCEA" w:rsidP="00A22A8C">
            <w:pPr>
              <w:pStyle w:val="ListParagraph"/>
              <w:numPr>
                <w:ilvl w:val="0"/>
                <w:numId w:val="16"/>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Refocus and re-design regulatory services and interactions to be customer-centric</w:t>
            </w:r>
          </w:p>
          <w:p w14:paraId="4F98CEF9" w14:textId="5C70E4D5" w:rsidR="00C36CA8" w:rsidRPr="00E6041E" w:rsidRDefault="602ABCEA" w:rsidP="00A22A8C">
            <w:pPr>
              <w:pStyle w:val="ListParagraph"/>
              <w:numPr>
                <w:ilvl w:val="0"/>
                <w:numId w:val="16"/>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Strengthen existing international relationships</w:t>
            </w:r>
          </w:p>
        </w:tc>
      </w:tr>
      <w:tr w:rsidR="009955F3" w:rsidRPr="00E6041E" w14:paraId="6BFD810D" w14:textId="77777777" w:rsidTr="4E0FE161">
        <w:trPr>
          <w:trHeight w:val="300"/>
        </w:trPr>
        <w:tc>
          <w:tcPr>
            <w:tcW w:w="2122" w:type="dxa"/>
            <w:tcBorders>
              <w:bottom w:val="single" w:sz="4" w:space="0" w:color="auto"/>
            </w:tcBorders>
          </w:tcPr>
          <w:p w14:paraId="7CEA4DE1" w14:textId="7F43C2F0" w:rsidR="00C36CA8" w:rsidRPr="00E6041E" w:rsidRDefault="602ABCEA" w:rsidP="00A22A8C">
            <w:p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Celebrate our Capital City status</w:t>
            </w:r>
          </w:p>
        </w:tc>
        <w:tc>
          <w:tcPr>
            <w:tcW w:w="7501" w:type="dxa"/>
            <w:tcBorders>
              <w:bottom w:val="single" w:sz="4" w:space="0" w:color="auto"/>
            </w:tcBorders>
          </w:tcPr>
          <w:p w14:paraId="5251861E" w14:textId="77777777" w:rsidR="00BF71A3"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Celebrate our Capital City identity</w:t>
            </w:r>
          </w:p>
          <w:p w14:paraId="43BAAFF7" w14:textId="1C9318B9" w:rsidR="00C36CA8"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Leverage being the home of Government</w:t>
            </w:r>
          </w:p>
        </w:tc>
      </w:tr>
      <w:tr w:rsidR="009955F3" w:rsidRPr="00E6041E" w14:paraId="6AF6B218" w14:textId="77777777" w:rsidTr="4E0FE161">
        <w:trPr>
          <w:trHeight w:val="300"/>
        </w:trPr>
        <w:tc>
          <w:tcPr>
            <w:tcW w:w="2122" w:type="dxa"/>
            <w:tcBorders>
              <w:top w:val="single" w:sz="4" w:space="0" w:color="auto"/>
              <w:bottom w:val="single" w:sz="4" w:space="0" w:color="auto"/>
            </w:tcBorders>
          </w:tcPr>
          <w:p w14:paraId="6A6887E4" w14:textId="145DC020" w:rsidR="00C36CA8" w:rsidRPr="00E6041E" w:rsidRDefault="602ABCEA" w:rsidP="00A22A8C">
            <w:p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A Dynamic city heart and thriving suburban centres</w:t>
            </w:r>
          </w:p>
        </w:tc>
        <w:tc>
          <w:tcPr>
            <w:tcW w:w="7501" w:type="dxa"/>
            <w:tcBorders>
              <w:top w:val="single" w:sz="4" w:space="0" w:color="auto"/>
              <w:bottom w:val="single" w:sz="4" w:space="0" w:color="auto"/>
            </w:tcBorders>
          </w:tcPr>
          <w:p w14:paraId="6B44A606" w14:textId="77777777" w:rsidR="00BF71A3"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Actively create experience precincts</w:t>
            </w:r>
          </w:p>
          <w:p w14:paraId="3BC0B786" w14:textId="649ECCA1" w:rsidR="00BF71A3"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 xml:space="preserve">Celebrate our creative culture, </w:t>
            </w:r>
            <w:r w:rsidR="00FB45A6">
              <w:rPr>
                <w:rFonts w:asciiTheme="minorHAnsi" w:eastAsiaTheme="minorEastAsia" w:hAnsiTheme="minorHAnsi" w:cstheme="minorHAnsi"/>
                <w:sz w:val="24"/>
                <w:szCs w:val="24"/>
              </w:rPr>
              <w:t>t</w:t>
            </w:r>
            <w:r w:rsidRPr="00E6041E">
              <w:rPr>
                <w:rFonts w:asciiTheme="minorHAnsi" w:eastAsiaTheme="minorEastAsia" w:hAnsiTheme="minorHAnsi" w:cstheme="minorHAnsi"/>
                <w:sz w:val="24"/>
                <w:szCs w:val="24"/>
              </w:rPr>
              <w:t xml:space="preserve">e </w:t>
            </w:r>
            <w:r w:rsidR="00FB45A6">
              <w:rPr>
                <w:rFonts w:asciiTheme="minorHAnsi" w:eastAsiaTheme="minorEastAsia" w:hAnsiTheme="minorHAnsi" w:cstheme="minorHAnsi"/>
                <w:sz w:val="24"/>
                <w:szCs w:val="24"/>
              </w:rPr>
              <w:t>a</w:t>
            </w:r>
            <w:r w:rsidRPr="00E6041E">
              <w:rPr>
                <w:rFonts w:asciiTheme="minorHAnsi" w:eastAsiaTheme="minorEastAsia" w:hAnsiTheme="minorHAnsi" w:cstheme="minorHAnsi"/>
                <w:sz w:val="24"/>
                <w:szCs w:val="24"/>
              </w:rPr>
              <w:t xml:space="preserve">o Māori and </w:t>
            </w:r>
            <w:r w:rsidR="00FB45A6">
              <w:rPr>
                <w:rFonts w:asciiTheme="minorHAnsi" w:eastAsiaTheme="minorEastAsia" w:hAnsiTheme="minorHAnsi" w:cstheme="minorHAnsi"/>
                <w:sz w:val="24"/>
                <w:szCs w:val="24"/>
              </w:rPr>
              <w:t>t</w:t>
            </w:r>
            <w:r w:rsidRPr="00E6041E">
              <w:rPr>
                <w:rFonts w:asciiTheme="minorHAnsi" w:eastAsiaTheme="minorEastAsia" w:hAnsiTheme="minorHAnsi" w:cstheme="minorHAnsi"/>
                <w:sz w:val="24"/>
                <w:szCs w:val="24"/>
              </w:rPr>
              <w:t xml:space="preserve">e </w:t>
            </w:r>
            <w:r w:rsidR="00FB45A6">
              <w:rPr>
                <w:rFonts w:asciiTheme="minorHAnsi" w:eastAsiaTheme="minorEastAsia" w:hAnsiTheme="minorHAnsi" w:cstheme="minorHAnsi"/>
                <w:sz w:val="24"/>
                <w:szCs w:val="24"/>
              </w:rPr>
              <w:t>r</w:t>
            </w:r>
            <w:r w:rsidRPr="00E6041E">
              <w:rPr>
                <w:rFonts w:asciiTheme="minorHAnsi" w:eastAsiaTheme="minorEastAsia" w:hAnsiTheme="minorHAnsi" w:cstheme="minorHAnsi"/>
                <w:sz w:val="24"/>
                <w:szCs w:val="24"/>
              </w:rPr>
              <w:t>eo Māori</w:t>
            </w:r>
          </w:p>
          <w:p w14:paraId="47322D0A" w14:textId="6B4D65C5" w:rsidR="00C36CA8" w:rsidRPr="00E6041E" w:rsidRDefault="602ABCEA" w:rsidP="00A22A8C">
            <w:pPr>
              <w:pStyle w:val="ListParagraph"/>
              <w:numPr>
                <w:ilvl w:val="0"/>
                <w:numId w:val="15"/>
              </w:numPr>
              <w:spacing w:line="276" w:lineRule="auto"/>
              <w:rPr>
                <w:rFonts w:asciiTheme="minorHAnsi" w:eastAsiaTheme="minorEastAsia" w:hAnsiTheme="minorHAnsi" w:cstheme="minorHAnsi"/>
                <w:sz w:val="24"/>
                <w:szCs w:val="24"/>
              </w:rPr>
            </w:pPr>
            <w:r w:rsidRPr="00E6041E">
              <w:rPr>
                <w:rFonts w:asciiTheme="minorHAnsi" w:eastAsiaTheme="minorEastAsia" w:hAnsiTheme="minorHAnsi" w:cstheme="minorHAnsi"/>
                <w:sz w:val="24"/>
                <w:szCs w:val="24"/>
              </w:rPr>
              <w:t>The night-time economy</w:t>
            </w:r>
          </w:p>
        </w:tc>
      </w:tr>
    </w:tbl>
    <w:p w14:paraId="1A29F026" w14:textId="77777777" w:rsidR="00C36CA8" w:rsidRPr="00E6041E" w:rsidRDefault="00C36CA8" w:rsidP="00A22A8C">
      <w:pPr>
        <w:spacing w:line="276" w:lineRule="auto"/>
        <w:rPr>
          <w:rFonts w:eastAsia="MS Gothic" w:cstheme="minorHAnsi"/>
          <w:sz w:val="24"/>
          <w:szCs w:val="24"/>
        </w:rPr>
      </w:pPr>
    </w:p>
    <w:p w14:paraId="2B50D42C" w14:textId="4D92839C" w:rsidR="2012CA73" w:rsidRPr="00E6041E" w:rsidRDefault="692C1270" w:rsidP="4667AA84">
      <w:pPr>
        <w:pStyle w:val="Body"/>
        <w:spacing w:after="0" w:line="276" w:lineRule="auto"/>
        <w:rPr>
          <w:rFonts w:eastAsia="Arial" w:cstheme="minorBidi"/>
          <w:sz w:val="24"/>
          <w:szCs w:val="24"/>
        </w:rPr>
      </w:pPr>
      <w:r w:rsidRPr="4667AA84">
        <w:rPr>
          <w:rFonts w:eastAsia="MS Gothic" w:cstheme="minorBidi"/>
          <w:sz w:val="24"/>
          <w:szCs w:val="24"/>
        </w:rPr>
        <w:t xml:space="preserve">In practice, due to the resource available and the need to deliver impact, </w:t>
      </w:r>
      <w:r w:rsidR="00156E43" w:rsidRPr="4667AA84">
        <w:rPr>
          <w:rFonts w:eastAsia="MS Gothic" w:cstheme="minorBidi"/>
          <w:sz w:val="24"/>
          <w:szCs w:val="24"/>
        </w:rPr>
        <w:t xml:space="preserve">delivery </w:t>
      </w:r>
      <w:r w:rsidR="02C7CEBD" w:rsidRPr="4667AA84">
        <w:rPr>
          <w:rFonts w:eastAsia="MS Gothic" w:cstheme="minorBidi"/>
          <w:sz w:val="24"/>
          <w:szCs w:val="24"/>
        </w:rPr>
        <w:t xml:space="preserve">within WCC </w:t>
      </w:r>
      <w:r w:rsidR="00156E43" w:rsidRPr="4667AA84">
        <w:rPr>
          <w:rFonts w:eastAsia="MS Gothic" w:cstheme="minorBidi"/>
          <w:sz w:val="24"/>
          <w:szCs w:val="24"/>
        </w:rPr>
        <w:t>of the Economic Wellbeing Strategy has focused on three key outcomes: Outcome Three (Creating a business-friendly city), Outcome Four (Establishing Wellington as the centre of creativity and digital innovation), and Outcome Six (Creating a dynamic city heart and thriving suburban centres). These priorities directly reflect areas where businesses have expressed a desire for Council leadership</w:t>
      </w:r>
      <w:r w:rsidR="1D9B1BC1" w:rsidRPr="4667AA84">
        <w:rPr>
          <w:rFonts w:eastAsia="MS Gothic" w:cstheme="minorBidi"/>
          <w:sz w:val="24"/>
          <w:szCs w:val="24"/>
        </w:rPr>
        <w:t xml:space="preserve"> and clear intervention logic exists</w:t>
      </w:r>
      <w:r w:rsidR="00156E43" w:rsidRPr="4667AA84">
        <w:rPr>
          <w:rFonts w:eastAsia="MS Gothic" w:cstheme="minorBidi"/>
          <w:sz w:val="24"/>
          <w:szCs w:val="24"/>
        </w:rPr>
        <w:t xml:space="preserve">. Implementation has emphasised targeted, evidence-based interventions, with Outcome Four largely advanced by WellingtonNZ’s initiatives in the technology and screen sectors, two areas offering significant potential for sustainable economic diversification and growth. </w:t>
      </w:r>
    </w:p>
    <w:p w14:paraId="36E9F261" w14:textId="2D200BF9" w:rsidR="4667AA84" w:rsidRDefault="4667AA84" w:rsidP="4667AA84">
      <w:pPr>
        <w:pStyle w:val="Body"/>
        <w:spacing w:after="0" w:line="276" w:lineRule="auto"/>
        <w:rPr>
          <w:rFonts w:eastAsia="MS Gothic" w:cstheme="minorBidi"/>
          <w:sz w:val="24"/>
          <w:szCs w:val="24"/>
        </w:rPr>
      </w:pPr>
    </w:p>
    <w:p w14:paraId="154B9A5C" w14:textId="275E71DC" w:rsidR="7089E66B" w:rsidRDefault="7089E66B" w:rsidP="4667AA84">
      <w:pPr>
        <w:pStyle w:val="Body"/>
        <w:spacing w:after="0" w:line="276" w:lineRule="auto"/>
        <w:rPr>
          <w:rFonts w:eastAsia="MS Gothic" w:cstheme="minorBidi"/>
          <w:sz w:val="24"/>
          <w:szCs w:val="24"/>
        </w:rPr>
      </w:pPr>
      <w:r w:rsidRPr="4667AA84">
        <w:rPr>
          <w:rFonts w:eastAsia="MS Gothic" w:cstheme="minorBidi"/>
          <w:sz w:val="24"/>
          <w:szCs w:val="24"/>
        </w:rPr>
        <w:t xml:space="preserve">Initial work was done on Celebrating our Capital City status but was deprioritised without successfully identifying a clear and willing lead partner in this area. </w:t>
      </w:r>
    </w:p>
    <w:p w14:paraId="374DDC41" w14:textId="77777777" w:rsidR="00A22A8C" w:rsidRDefault="00A22A8C" w:rsidP="00A22A8C">
      <w:pPr>
        <w:pStyle w:val="Body"/>
        <w:spacing w:after="0" w:line="276" w:lineRule="auto"/>
        <w:rPr>
          <w:rFonts w:eastAsia="Arial" w:cstheme="minorHAnsi"/>
          <w:sz w:val="24"/>
          <w:szCs w:val="24"/>
        </w:rPr>
      </w:pPr>
    </w:p>
    <w:p w14:paraId="09E7CCE9" w14:textId="345A8291" w:rsidR="00156144" w:rsidRDefault="072863CD" w:rsidP="00FE3F84">
      <w:pPr>
        <w:pStyle w:val="Body"/>
        <w:spacing w:after="0" w:line="276" w:lineRule="auto"/>
        <w:rPr>
          <w:rFonts w:eastAsia="MS Gothic" w:cstheme="minorHAnsi"/>
          <w:b/>
          <w:bCs/>
          <w:kern w:val="32"/>
          <w:sz w:val="40"/>
          <w:szCs w:val="40"/>
        </w:rPr>
      </w:pPr>
      <w:r w:rsidRPr="00E6041E">
        <w:rPr>
          <w:rFonts w:eastAsia="Arial" w:cstheme="minorHAnsi"/>
          <w:sz w:val="24"/>
          <w:szCs w:val="24"/>
        </w:rPr>
        <w:t>Complementing this is Aho Tini 2030, the Council’s arts</w:t>
      </w:r>
      <w:r w:rsidR="009C272A" w:rsidRPr="00E6041E">
        <w:rPr>
          <w:rFonts w:eastAsia="Arial" w:cstheme="minorHAnsi"/>
          <w:sz w:val="24"/>
          <w:szCs w:val="24"/>
        </w:rPr>
        <w:t xml:space="preserve">, </w:t>
      </w:r>
      <w:r w:rsidRPr="00E6041E">
        <w:rPr>
          <w:rFonts w:eastAsia="Arial" w:cstheme="minorHAnsi"/>
          <w:sz w:val="24"/>
          <w:szCs w:val="24"/>
        </w:rPr>
        <w:t>culture</w:t>
      </w:r>
      <w:r w:rsidR="009C272A" w:rsidRPr="00E6041E">
        <w:rPr>
          <w:rFonts w:eastAsia="Arial" w:cstheme="minorHAnsi"/>
          <w:sz w:val="24"/>
          <w:szCs w:val="24"/>
        </w:rPr>
        <w:t>, and creativity</w:t>
      </w:r>
      <w:r w:rsidRPr="00E6041E">
        <w:rPr>
          <w:rFonts w:eastAsia="Arial" w:cstheme="minorHAnsi"/>
          <w:sz w:val="24"/>
          <w:szCs w:val="24"/>
        </w:rPr>
        <w:t xml:space="preserve"> strategy that aims to strengthen the city’s creative ecosystem, using arts and cultural events to support the city’s reputation as the ‘Creative Capital’ and contribute to city vibrancy, attract visitors and talent to the city, and drive innovation. The Council also leverages Te Atakura</w:t>
      </w:r>
      <w:r w:rsidR="2B7CB792" w:rsidRPr="00E6041E">
        <w:rPr>
          <w:rFonts w:eastAsia="Arial" w:cstheme="minorHAnsi"/>
          <w:sz w:val="24"/>
          <w:szCs w:val="24"/>
        </w:rPr>
        <w:t>,</w:t>
      </w:r>
      <w:r w:rsidRPr="00E6041E">
        <w:rPr>
          <w:rFonts w:eastAsia="Arial" w:cstheme="minorHAnsi"/>
          <w:sz w:val="24"/>
          <w:szCs w:val="24"/>
        </w:rPr>
        <w:t xml:space="preserve"> the Council’s climate action strategy to 2050, which positions Wellington as a climate leader and supports businesses to adopt sustainable practices</w:t>
      </w:r>
      <w:r w:rsidR="155EB6CB" w:rsidRPr="00E6041E">
        <w:rPr>
          <w:rFonts w:eastAsia="Arial" w:cstheme="minorHAnsi"/>
          <w:sz w:val="24"/>
          <w:szCs w:val="24"/>
        </w:rPr>
        <w:t>.</w:t>
      </w:r>
      <w:r w:rsidR="00156144">
        <w:rPr>
          <w:rFonts w:cstheme="minorHAnsi"/>
          <w:sz w:val="40"/>
          <w:szCs w:val="40"/>
        </w:rPr>
        <w:br w:type="page"/>
      </w:r>
    </w:p>
    <w:p w14:paraId="592AC07C" w14:textId="7E3A65EC" w:rsidR="00FE54F6" w:rsidRPr="000F437E" w:rsidRDefault="4AD0FAED" w:rsidP="3C7EFEEB">
      <w:pPr>
        <w:pStyle w:val="Heading1"/>
        <w:spacing w:after="240"/>
        <w:rPr>
          <w:rFonts w:asciiTheme="minorHAnsi" w:hAnsiTheme="minorHAnsi" w:cstheme="minorBidi"/>
          <w:sz w:val="40"/>
          <w:szCs w:val="40"/>
        </w:rPr>
      </w:pPr>
      <w:bookmarkStart w:id="20" w:name="_Toc223964612"/>
      <w:r w:rsidRPr="3C7EFEEB">
        <w:rPr>
          <w:rFonts w:asciiTheme="minorHAnsi" w:hAnsiTheme="minorHAnsi" w:cstheme="minorBidi"/>
          <w:sz w:val="40"/>
          <w:szCs w:val="40"/>
        </w:rPr>
        <w:t>I</w:t>
      </w:r>
      <w:r w:rsidR="6B759586" w:rsidRPr="3C7EFEEB">
        <w:rPr>
          <w:rFonts w:asciiTheme="minorHAnsi" w:hAnsiTheme="minorHAnsi" w:cstheme="minorBidi"/>
          <w:sz w:val="40"/>
          <w:szCs w:val="40"/>
        </w:rPr>
        <w:t>ndicators and trends</w:t>
      </w:r>
      <w:bookmarkEnd w:id="20"/>
    </w:p>
    <w:p w14:paraId="1A053A41" w14:textId="7BBDE869" w:rsidR="00A05187" w:rsidRPr="00A05187" w:rsidRDefault="00A05187" w:rsidP="008D5DBD">
      <w:pPr>
        <w:spacing w:line="276" w:lineRule="auto"/>
        <w:rPr>
          <w:rFonts w:cstheme="minorHAnsi"/>
          <w:b/>
          <w:bCs/>
          <w:sz w:val="24"/>
          <w:szCs w:val="24"/>
        </w:rPr>
      </w:pPr>
      <w:r w:rsidRPr="00A05187">
        <w:rPr>
          <w:rFonts w:cstheme="minorHAnsi"/>
          <w:b/>
          <w:bCs/>
          <w:sz w:val="24"/>
          <w:szCs w:val="24"/>
        </w:rPr>
        <w:t>Labour market pressure</w:t>
      </w:r>
    </w:p>
    <w:p w14:paraId="13C04478" w14:textId="61E8EEC4" w:rsidR="59239E29" w:rsidRPr="00FF5B8C" w:rsidRDefault="1C940E7D" w:rsidP="59239E29">
      <w:pPr>
        <w:spacing w:line="276" w:lineRule="auto"/>
      </w:pPr>
      <w:r w:rsidRPr="59239E29">
        <w:rPr>
          <w:rFonts w:cstheme="minorBidi"/>
          <w:sz w:val="24"/>
          <w:szCs w:val="24"/>
        </w:rPr>
        <w:t xml:space="preserve">The </w:t>
      </w:r>
      <w:r w:rsidR="4BC84DE8" w:rsidRPr="59239E29">
        <w:rPr>
          <w:rFonts w:cstheme="minorBidi"/>
          <w:sz w:val="24"/>
          <w:szCs w:val="24"/>
        </w:rPr>
        <w:t>city</w:t>
      </w:r>
      <w:r w:rsidRPr="59239E29">
        <w:rPr>
          <w:rFonts w:cstheme="minorBidi"/>
          <w:sz w:val="24"/>
          <w:szCs w:val="24"/>
        </w:rPr>
        <w:t xml:space="preserve"> is weathering considerable economic pressure</w:t>
      </w:r>
      <w:r w:rsidR="4F56EB92" w:rsidRPr="59239E29">
        <w:rPr>
          <w:rFonts w:cstheme="minorBidi"/>
          <w:sz w:val="24"/>
          <w:szCs w:val="24"/>
        </w:rPr>
        <w:t xml:space="preserve"> </w:t>
      </w:r>
      <w:r w:rsidRPr="59239E29">
        <w:rPr>
          <w:rFonts w:cstheme="minorBidi"/>
          <w:sz w:val="24"/>
          <w:szCs w:val="24"/>
        </w:rPr>
        <w:t xml:space="preserve">but is </w:t>
      </w:r>
      <w:r w:rsidR="1FCEE5F0" w:rsidRPr="59239E29">
        <w:rPr>
          <w:rFonts w:cstheme="minorBidi"/>
          <w:sz w:val="24"/>
          <w:szCs w:val="24"/>
        </w:rPr>
        <w:t>starting to show</w:t>
      </w:r>
      <w:r w:rsidR="7C5756C6" w:rsidRPr="59239E29">
        <w:rPr>
          <w:rFonts w:cstheme="minorBidi"/>
          <w:sz w:val="24"/>
          <w:szCs w:val="24"/>
        </w:rPr>
        <w:t xml:space="preserve"> some</w:t>
      </w:r>
      <w:r w:rsidRPr="59239E29">
        <w:rPr>
          <w:rFonts w:cstheme="minorBidi"/>
          <w:sz w:val="24"/>
          <w:szCs w:val="24"/>
        </w:rPr>
        <w:t xml:space="preserve"> </w:t>
      </w:r>
      <w:r w:rsidR="6E63F1C5" w:rsidRPr="59239E29">
        <w:rPr>
          <w:rFonts w:cstheme="minorBidi"/>
          <w:sz w:val="24"/>
          <w:szCs w:val="24"/>
        </w:rPr>
        <w:t xml:space="preserve">signs of </w:t>
      </w:r>
      <w:r w:rsidR="31946FBA" w:rsidRPr="59239E29">
        <w:rPr>
          <w:rFonts w:cstheme="minorBidi"/>
          <w:sz w:val="24"/>
          <w:szCs w:val="24"/>
        </w:rPr>
        <w:t>stabilisation</w:t>
      </w:r>
      <w:r w:rsidR="39B97EA2" w:rsidRPr="59239E29">
        <w:rPr>
          <w:rFonts w:cstheme="minorBidi"/>
          <w:sz w:val="24"/>
          <w:szCs w:val="24"/>
        </w:rPr>
        <w:t xml:space="preserve"> as of June 202</w:t>
      </w:r>
      <w:r w:rsidR="4E3629B6" w:rsidRPr="59239E29">
        <w:rPr>
          <w:rFonts w:cstheme="minorBidi"/>
          <w:sz w:val="24"/>
          <w:szCs w:val="24"/>
        </w:rPr>
        <w:t>5</w:t>
      </w:r>
      <w:r w:rsidR="001447E1" w:rsidRPr="59239E29">
        <w:rPr>
          <w:rFonts w:cstheme="minorBidi"/>
          <w:sz w:val="24"/>
          <w:szCs w:val="24"/>
        </w:rPr>
        <w:t>.</w:t>
      </w:r>
      <w:r w:rsidR="001447E1" w:rsidRPr="00ED7ECD">
        <w:rPr>
          <w:vertAlign w:val="superscript"/>
        </w:rPr>
        <w:footnoteReference w:id="2"/>
      </w:r>
      <w:r w:rsidR="00ED7ECD" w:rsidRPr="00ED7ECD">
        <w:rPr>
          <w:vertAlign w:val="superscript"/>
        </w:rPr>
        <w:t xml:space="preserve"> </w:t>
      </w:r>
      <w:r w:rsidR="00ED7ECD">
        <w:rPr>
          <w:vertAlign w:val="superscript"/>
        </w:rPr>
        <w:t xml:space="preserve"> </w:t>
      </w:r>
      <w:r w:rsidR="008D5DBD" w:rsidRPr="59239E29">
        <w:rPr>
          <w:rFonts w:cstheme="minorBidi"/>
          <w:sz w:val="24"/>
          <w:szCs w:val="24"/>
        </w:rPr>
        <w:t xml:space="preserve">New Zealand growth gains are expected in business services and construction. Wellington’s labour market remains under pressure, with employment growth expected to trail the national recovery due to ongoing public sector restructuring, </w:t>
      </w:r>
      <w:r w:rsidR="2A5A866E" w:rsidRPr="68952F3F">
        <w:rPr>
          <w:rFonts w:cstheme="minorBidi"/>
          <w:sz w:val="24"/>
          <w:szCs w:val="24"/>
        </w:rPr>
        <w:t>slow and uneven</w:t>
      </w:r>
      <w:r w:rsidR="008D5DBD" w:rsidRPr="59239E29">
        <w:rPr>
          <w:rFonts w:cstheme="minorBidi"/>
          <w:sz w:val="24"/>
          <w:szCs w:val="24"/>
        </w:rPr>
        <w:t xml:space="preserve"> population growth and subdued job market conditions.</w:t>
      </w:r>
      <w:r w:rsidR="008D5DBD" w:rsidRPr="59239E29">
        <w:rPr>
          <w:rStyle w:val="FootnoteReference"/>
          <w:rFonts w:cstheme="minorBidi"/>
          <w:sz w:val="24"/>
          <w:szCs w:val="24"/>
        </w:rPr>
        <w:footnoteReference w:id="3"/>
      </w:r>
    </w:p>
    <w:p w14:paraId="40250E74" w14:textId="23F35FE5" w:rsidR="00A11FED" w:rsidRDefault="00BF0D54" w:rsidP="00AA010F">
      <w:pPr>
        <w:spacing w:line="276" w:lineRule="auto"/>
        <w:rPr>
          <w:rFonts w:eastAsia="MS Gothic" w:cstheme="minorBidi"/>
          <w:sz w:val="24"/>
          <w:szCs w:val="24"/>
        </w:rPr>
      </w:pPr>
      <w:r w:rsidRPr="00BF0D54">
        <w:rPr>
          <w:rFonts w:eastAsia="MS Gothic" w:cstheme="minorBidi"/>
          <w:noProof/>
          <w:sz w:val="24"/>
          <w:szCs w:val="24"/>
        </w:rPr>
        <w:drawing>
          <wp:anchor distT="0" distB="0" distL="114300" distR="114300" simplePos="0" relativeHeight="251658246" behindDoc="1" locked="0" layoutInCell="1" allowOverlap="1" wp14:anchorId="3F851F29" wp14:editId="1C024DB9">
            <wp:simplePos x="0" y="0"/>
            <wp:positionH relativeFrom="column">
              <wp:posOffset>-140789</wp:posOffset>
            </wp:positionH>
            <wp:positionV relativeFrom="paragraph">
              <wp:posOffset>262255</wp:posOffset>
            </wp:positionV>
            <wp:extent cx="6553835" cy="2122170"/>
            <wp:effectExtent l="0" t="0" r="0" b="0"/>
            <wp:wrapTight wrapText="bothSides">
              <wp:wrapPolygon edited="0">
                <wp:start x="0" y="0"/>
                <wp:lineTo x="0" y="21329"/>
                <wp:lineTo x="21535" y="21329"/>
                <wp:lineTo x="21535" y="0"/>
                <wp:lineTo x="0" y="0"/>
              </wp:wrapPolygon>
            </wp:wrapTight>
            <wp:docPr id="1254085258" name="Picture 1" descr="Indicators (Infometrics)&#10;2% increase in average annual household incomes from the previous year&#10;4% improvement in jobs and earnings wellbeing (people's ability to secure a stable source of income to support and individual/their family/a household), a positive shift following a sustained period of decline&#10;5.1% - Wellington's unemployment rate as at Decemeber 2025,  up from 4.7% in the previous 12 months and lower than the country's overall unemployment rate at 5.3%&#10;1.8% - New Zealand employment is forecast to grow by 1.8% annually (Ministry of Business, Innovation and Employment)&#10;-2.8% decline in quartley filled jobs (employed Wellington city residents) for the year-to-date December 2025&#10;-1.2% decline in quarterly filled jobs nationally for the year-to-date Decembe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85258" name="Picture 1" descr="Indicators (Infometrics)&#10;2% increase in average annual household incomes from the previous year&#10;4% improvement in jobs and earnings wellbeing (people's ability to secure a stable source of income to support and individual/their family/a household), a positive shift following a sustained period of decline&#10;5.1% - Wellington's unemployment rate as at Decemeber 2025,  up from 4.7% in the previous 12 months and lower than the country's overall unemployment rate at 5.3%&#10;1.8% - New Zealand employment is forecast to grow by 1.8% annually (Ministry of Business, Innovation and Employment)&#10;-2.8% decline in quartley filled jobs (employed Wellington city residents) for the year-to-date December 2025&#10;-1.2% decline in quarterly filled jobs nationally for the year-to-date December 2025"/>
                    <pic:cNvPicPr/>
                  </pic:nvPicPr>
                  <pic:blipFill>
                    <a:blip r:embed="rId22"/>
                    <a:stretch>
                      <a:fillRect/>
                    </a:stretch>
                  </pic:blipFill>
                  <pic:spPr>
                    <a:xfrm>
                      <a:off x="0" y="0"/>
                      <a:ext cx="6553835" cy="2122170"/>
                    </a:xfrm>
                    <a:prstGeom prst="rect">
                      <a:avLst/>
                    </a:prstGeom>
                  </pic:spPr>
                </pic:pic>
              </a:graphicData>
            </a:graphic>
            <wp14:sizeRelH relativeFrom="margin">
              <wp14:pctWidth>0</wp14:pctWidth>
            </wp14:sizeRelH>
            <wp14:sizeRelV relativeFrom="margin">
              <wp14:pctHeight>0</wp14:pctHeight>
            </wp14:sizeRelV>
          </wp:anchor>
        </w:drawing>
      </w:r>
    </w:p>
    <w:p w14:paraId="2276B23D" w14:textId="52863827" w:rsidR="00A05187" w:rsidRPr="00DE2669" w:rsidRDefault="00DE2669" w:rsidP="00944775">
      <w:pPr>
        <w:spacing w:before="360" w:line="276" w:lineRule="auto"/>
        <w:rPr>
          <w:rFonts w:eastAsia="Arial" w:cstheme="minorHAnsi"/>
          <w:b/>
          <w:bCs/>
          <w:sz w:val="24"/>
          <w:szCs w:val="24"/>
        </w:rPr>
      </w:pPr>
      <w:r w:rsidRPr="00DE2669">
        <w:rPr>
          <w:rFonts w:eastAsia="Arial" w:cstheme="minorHAnsi"/>
          <w:b/>
          <w:bCs/>
          <w:sz w:val="24"/>
          <w:szCs w:val="24"/>
        </w:rPr>
        <w:t>Economic activity concentrated</w:t>
      </w:r>
    </w:p>
    <w:p w14:paraId="140513F1" w14:textId="34842645" w:rsidR="00260AB5" w:rsidRDefault="326CA269" w:rsidP="00F15481">
      <w:pPr>
        <w:spacing w:line="276" w:lineRule="auto"/>
        <w:rPr>
          <w:rFonts w:eastAsia="Arial" w:cstheme="minorHAnsi"/>
          <w:sz w:val="24"/>
          <w:szCs w:val="24"/>
        </w:rPr>
      </w:pPr>
      <w:r w:rsidRPr="00F15481">
        <w:rPr>
          <w:rFonts w:eastAsia="Arial" w:cstheme="minorHAnsi"/>
          <w:sz w:val="24"/>
          <w:szCs w:val="24"/>
        </w:rPr>
        <w:t xml:space="preserve">Wellington’s economic activity is far more concentrated in a few industries than other cities. </w:t>
      </w:r>
      <w:r w:rsidR="004D5C01" w:rsidRPr="00F15481">
        <w:rPr>
          <w:rFonts w:eastAsia="Arial" w:cstheme="minorHAnsi"/>
          <w:sz w:val="24"/>
          <w:szCs w:val="24"/>
        </w:rPr>
        <w:t>The Herfindahl-Hirschman Index</w:t>
      </w:r>
      <w:r w:rsidR="00F77979">
        <w:rPr>
          <w:rFonts w:eastAsia="Arial" w:cstheme="minorHAnsi"/>
          <w:sz w:val="24"/>
          <w:szCs w:val="24"/>
        </w:rPr>
        <w:t xml:space="preserve"> (HHI)</w:t>
      </w:r>
      <w:r w:rsidR="004D5C01" w:rsidRPr="00F15481">
        <w:rPr>
          <w:rFonts w:eastAsia="Arial" w:cstheme="minorHAnsi"/>
          <w:sz w:val="24"/>
          <w:szCs w:val="24"/>
        </w:rPr>
        <w:t xml:space="preserve"> is a commonly used measure of economic concentration, where a higher index value means that fewer sectors dominate the local economy. </w:t>
      </w:r>
    </w:p>
    <w:p w14:paraId="62D4E80B" w14:textId="5487CC95" w:rsidR="00AC1D94" w:rsidRDefault="00AC1D94" w:rsidP="00F15481">
      <w:pPr>
        <w:spacing w:line="276" w:lineRule="auto"/>
        <w:rPr>
          <w:rFonts w:eastAsia="Arial" w:cstheme="minorHAnsi"/>
          <w:sz w:val="24"/>
          <w:szCs w:val="24"/>
        </w:rPr>
      </w:pPr>
    </w:p>
    <w:p w14:paraId="43AE7C17" w14:textId="50A22514" w:rsidR="00F15481" w:rsidRPr="00F15481" w:rsidRDefault="004D5C01" w:rsidP="00F15481">
      <w:pPr>
        <w:spacing w:line="276" w:lineRule="auto"/>
        <w:rPr>
          <w:rFonts w:eastAsia="MS Gothic" w:cstheme="minorBidi"/>
          <w:sz w:val="24"/>
          <w:szCs w:val="24"/>
        </w:rPr>
      </w:pPr>
      <w:r w:rsidRPr="68952F3F">
        <w:rPr>
          <w:rFonts w:eastAsia="Arial" w:cstheme="minorBidi"/>
          <w:sz w:val="24"/>
          <w:szCs w:val="24"/>
        </w:rPr>
        <w:t xml:space="preserve">Central government (public administration), professional services, and finance/insurance dominate Wellington, and are primarily responsible for the city’s high concentration index. Together they account for a large share of the city’s GDP and employment, which leaves the city highly vulnerable to changes in these, as recently experienced with public sector </w:t>
      </w:r>
      <w:r w:rsidR="15B34EAA" w:rsidRPr="68952F3F">
        <w:rPr>
          <w:rFonts w:eastAsia="Arial" w:cstheme="minorBidi"/>
          <w:sz w:val="24"/>
          <w:szCs w:val="24"/>
        </w:rPr>
        <w:t>employment</w:t>
      </w:r>
      <w:r w:rsidR="34D240DC" w:rsidRPr="68952F3F">
        <w:rPr>
          <w:rFonts w:eastAsia="Arial" w:cstheme="minorBidi"/>
          <w:sz w:val="24"/>
          <w:szCs w:val="24"/>
        </w:rPr>
        <w:t xml:space="preserve"> volatility</w:t>
      </w:r>
      <w:r w:rsidR="36D16A8A" w:rsidRPr="68952F3F">
        <w:rPr>
          <w:rFonts w:eastAsia="Arial" w:cstheme="minorBidi"/>
          <w:sz w:val="24"/>
          <w:szCs w:val="24"/>
        </w:rPr>
        <w:t>.</w:t>
      </w:r>
      <w:r w:rsidRPr="68952F3F">
        <w:rPr>
          <w:rFonts w:eastAsia="Arial" w:cstheme="minorBidi"/>
          <w:sz w:val="24"/>
          <w:szCs w:val="24"/>
        </w:rPr>
        <w:t xml:space="preserve"> </w:t>
      </w:r>
      <w:r w:rsidR="00F15481" w:rsidRPr="68952F3F">
        <w:rPr>
          <w:rFonts w:eastAsia="MS Gothic" w:cstheme="minorBidi"/>
          <w:sz w:val="24"/>
          <w:szCs w:val="24"/>
        </w:rPr>
        <w:t>With an HH Index of 827 in 2025, Wellington City's economy was less diverse than the average. The average HHI across all 66 territorial authorities was 489.</w:t>
      </w:r>
      <w:r w:rsidR="006242F2" w:rsidRPr="68952F3F">
        <w:rPr>
          <w:rStyle w:val="FootnoteReference"/>
          <w:rFonts w:eastAsia="MS Gothic" w:cstheme="minorBidi"/>
          <w:sz w:val="24"/>
          <w:szCs w:val="24"/>
        </w:rPr>
        <w:footnoteReference w:id="4"/>
      </w:r>
      <w:r w:rsidR="00F15481" w:rsidRPr="68952F3F">
        <w:rPr>
          <w:rFonts w:eastAsia="Arial" w:cstheme="minorBidi"/>
          <w:sz w:val="24"/>
          <w:szCs w:val="24"/>
        </w:rPr>
        <w:t xml:space="preserve"> The City’s HHI has been continuing to rise over the past decade, as shown in the graph below.</w:t>
      </w:r>
      <w:r w:rsidR="00B50E11" w:rsidRPr="68952F3F">
        <w:rPr>
          <w:rFonts w:eastAsia="MS Gothic" w:cstheme="minorBidi"/>
          <w:sz w:val="24"/>
          <w:szCs w:val="24"/>
        </w:rPr>
        <w:t xml:space="preserve"> This vulnerability is reflected in the six other underpinning indicators which have shown negative change, including an increase in the unemployment rate.</w:t>
      </w:r>
    </w:p>
    <w:p w14:paraId="4423350C" w14:textId="77777777" w:rsidR="00AC1D94" w:rsidRDefault="00AC1D94" w:rsidP="00AA010F">
      <w:pPr>
        <w:spacing w:line="276" w:lineRule="auto"/>
        <w:rPr>
          <w:rFonts w:eastAsia="Arial" w:cstheme="minorHAnsi"/>
          <w:sz w:val="24"/>
          <w:szCs w:val="24"/>
        </w:rPr>
      </w:pPr>
    </w:p>
    <w:p w14:paraId="25491BC5" w14:textId="77777777" w:rsidR="00AC1D94" w:rsidRDefault="00AC1D94" w:rsidP="00AA010F">
      <w:pPr>
        <w:spacing w:line="276" w:lineRule="auto"/>
        <w:rPr>
          <w:rFonts w:eastAsia="Arial" w:cstheme="minorHAnsi"/>
          <w:sz w:val="24"/>
          <w:szCs w:val="24"/>
        </w:rPr>
      </w:pPr>
    </w:p>
    <w:p w14:paraId="1DCD9B45" w14:textId="4E659F83" w:rsidR="00E546B5" w:rsidRDefault="00B404E6" w:rsidP="00AC1D94">
      <w:pPr>
        <w:spacing w:after="240" w:line="276" w:lineRule="auto"/>
        <w:rPr>
          <w:rFonts w:eastAsia="Arial" w:cstheme="minorBidi"/>
          <w:sz w:val="24"/>
          <w:szCs w:val="24"/>
        </w:rPr>
      </w:pPr>
      <w:r w:rsidRPr="00E37777">
        <w:rPr>
          <w:b/>
          <w:noProof/>
        </w:rPr>
        <w:drawing>
          <wp:anchor distT="0" distB="0" distL="114300" distR="114300" simplePos="0" relativeHeight="251658245" behindDoc="1" locked="0" layoutInCell="1" allowOverlap="1" wp14:anchorId="7429FD31" wp14:editId="1FBE86F1">
            <wp:simplePos x="0" y="0"/>
            <wp:positionH relativeFrom="column">
              <wp:posOffset>-319803</wp:posOffset>
            </wp:positionH>
            <wp:positionV relativeFrom="paragraph">
              <wp:posOffset>479156</wp:posOffset>
            </wp:positionV>
            <wp:extent cx="3414395" cy="4409440"/>
            <wp:effectExtent l="0" t="0" r="14605" b="10160"/>
            <wp:wrapTight wrapText="bothSides">
              <wp:wrapPolygon edited="0">
                <wp:start x="0" y="0"/>
                <wp:lineTo x="0" y="21556"/>
                <wp:lineTo x="21572" y="21556"/>
                <wp:lineTo x="21572" y="0"/>
                <wp:lineTo x="0" y="0"/>
              </wp:wrapPolygon>
            </wp:wrapTight>
            <wp:docPr id="1654332671" name="Chart 1" descr="In the early 2000s, the economic diversity of Wellington city and other territorial authority areas was roughly the same. Since around 2004, the economic diversity of other territorial authorities has stayed roughly the same, whereas Wellington city's economy has concentrated to become less diverse over the previous 2 decades">
              <a:extLst xmlns:a="http://schemas.openxmlformats.org/drawingml/2006/main">
                <a:ext uri="{FF2B5EF4-FFF2-40B4-BE49-F238E27FC236}">
                  <a16:creationId xmlns:a16="http://schemas.microsoft.com/office/drawing/2014/main" id="{E2CB9804-04FD-D63B-4E46-3B5E5D404F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Pr="00E37777">
        <w:rPr>
          <w:b/>
          <w:noProof/>
        </w:rPr>
        <w:drawing>
          <wp:anchor distT="0" distB="0" distL="114300" distR="114300" simplePos="0" relativeHeight="251658244" behindDoc="1" locked="0" layoutInCell="1" allowOverlap="1" wp14:anchorId="0716936F" wp14:editId="5D0F01E3">
            <wp:simplePos x="0" y="0"/>
            <wp:positionH relativeFrom="column">
              <wp:posOffset>3103880</wp:posOffset>
            </wp:positionH>
            <wp:positionV relativeFrom="paragraph">
              <wp:posOffset>436880</wp:posOffset>
            </wp:positionV>
            <wp:extent cx="3241040" cy="4438015"/>
            <wp:effectExtent l="0" t="0" r="16510" b="635"/>
            <wp:wrapTight wrapText="bothSides">
              <wp:wrapPolygon edited="0">
                <wp:start x="0" y="0"/>
                <wp:lineTo x="0" y="21510"/>
                <wp:lineTo x="21583" y="21510"/>
                <wp:lineTo x="21583" y="0"/>
                <wp:lineTo x="0" y="0"/>
              </wp:wrapPolygon>
            </wp:wrapTight>
            <wp:docPr id="1234076624" name="Chart 1" descr="The largest industries in Wellington city by proportion of overall filled jobs for the year to date March 2025 are public administration and safety (23.4%), professional/scientific/technical services (14.8%), and healthcare and social assistance (9.3%). Of particular interest is the fact that for New Zealand overall, the proportion of jobs which are in public administration and safety is only around 6% - around four times less compared to Wellington city">
              <a:extLst xmlns:a="http://schemas.openxmlformats.org/drawingml/2006/main">
                <a:ext uri="{FF2B5EF4-FFF2-40B4-BE49-F238E27FC236}">
                  <a16:creationId xmlns:a16="http://schemas.microsoft.com/office/drawing/2014/main" id="{79127942-D903-6E73-FAAB-13A05E43BE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A80B96" w:rsidRPr="00E37777">
        <w:rPr>
          <w:b/>
          <w:noProof/>
        </w:rPr>
        <w:drawing>
          <wp:anchor distT="0" distB="0" distL="114300" distR="114300" simplePos="0" relativeHeight="251658243" behindDoc="1" locked="0" layoutInCell="1" allowOverlap="1" wp14:anchorId="0E62914F" wp14:editId="2191912D">
            <wp:simplePos x="0" y="0"/>
            <wp:positionH relativeFrom="column">
              <wp:posOffset>-232410</wp:posOffset>
            </wp:positionH>
            <wp:positionV relativeFrom="paragraph">
              <wp:posOffset>5194935</wp:posOffset>
            </wp:positionV>
            <wp:extent cx="6640195" cy="3977005"/>
            <wp:effectExtent l="0" t="0" r="8255" b="4445"/>
            <wp:wrapTight wrapText="bothSides">
              <wp:wrapPolygon edited="0">
                <wp:start x="0" y="0"/>
                <wp:lineTo x="0" y="21521"/>
                <wp:lineTo x="21565" y="21521"/>
                <wp:lineTo x="21565" y="0"/>
                <wp:lineTo x="0" y="0"/>
              </wp:wrapPolygon>
            </wp:wrapTight>
            <wp:docPr id="1994055865" name="Chart 1" descr="The largest industries by GDP for Wellington city for the year to date March 2025 are public administration (19.1%), Professional/scientific/technical services (15.0%), and financial and insurance services (9.2%). The proportion of Wellington city's GDP which is accounted for by public administration and safety is about four times larger than is the case for New Zealand overall (for which, this is around 5%)">
              <a:extLst xmlns:a="http://schemas.openxmlformats.org/drawingml/2006/main">
                <a:ext uri="{FF2B5EF4-FFF2-40B4-BE49-F238E27FC236}">
                  <a16:creationId xmlns:a16="http://schemas.microsoft.com/office/drawing/2014/main" id="{07C43FBF-E20F-1B81-B2B1-D11A009018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sidR="00D15392" w:rsidRPr="00E37777">
        <w:rPr>
          <w:rFonts w:eastAsia="Arial" w:cstheme="minorBidi"/>
          <w:b/>
          <w:sz w:val="24"/>
          <w:szCs w:val="24"/>
        </w:rPr>
        <w:t>Industry</w:t>
      </w:r>
      <w:r w:rsidR="00AC1D94" w:rsidRPr="00E37777">
        <w:rPr>
          <w:rFonts w:eastAsia="Arial" w:cstheme="minorBidi"/>
          <w:b/>
          <w:sz w:val="24"/>
          <w:szCs w:val="24"/>
        </w:rPr>
        <w:t xml:space="preserve"> indicators: </w:t>
      </w:r>
      <w:proofErr w:type="spellStart"/>
      <w:r w:rsidR="00AC1D94" w:rsidRPr="00E37777">
        <w:rPr>
          <w:rFonts w:eastAsia="Arial" w:cstheme="minorBidi"/>
          <w:b/>
          <w:sz w:val="24"/>
          <w:szCs w:val="24"/>
        </w:rPr>
        <w:t>Infometrics</w:t>
      </w:r>
      <w:proofErr w:type="spellEnd"/>
      <w:r w:rsidR="00AC1D94" w:rsidRPr="00E37777">
        <w:rPr>
          <w:rFonts w:eastAsia="Arial" w:cstheme="minorBidi"/>
          <w:b/>
          <w:sz w:val="24"/>
          <w:szCs w:val="24"/>
        </w:rPr>
        <w:t xml:space="preserve"> (accessed January 2026)</w:t>
      </w:r>
    </w:p>
    <w:p w14:paraId="68D2CB0B" w14:textId="12D4C451" w:rsidR="00415890" w:rsidRDefault="00415890" w:rsidP="00AA010F">
      <w:pPr>
        <w:spacing w:line="276" w:lineRule="auto"/>
        <w:rPr>
          <w:rFonts w:eastAsia="Arial" w:cstheme="minorBidi"/>
          <w:sz w:val="24"/>
          <w:szCs w:val="24"/>
        </w:rPr>
      </w:pPr>
    </w:p>
    <w:p w14:paraId="6839E0AE" w14:textId="4901E59E" w:rsidR="00FE41E6" w:rsidRDefault="00E334E7" w:rsidP="00AA010F">
      <w:pPr>
        <w:spacing w:line="276" w:lineRule="auto"/>
        <w:rPr>
          <w:rFonts w:eastAsia="Arial" w:cstheme="minorBidi"/>
          <w:sz w:val="24"/>
          <w:szCs w:val="24"/>
        </w:rPr>
      </w:pPr>
      <w:r w:rsidRPr="59239E29">
        <w:rPr>
          <w:rFonts w:eastAsia="Arial" w:cstheme="minorBidi"/>
          <w:sz w:val="24"/>
          <w:szCs w:val="24"/>
        </w:rPr>
        <w:t>Key points to note about the sectors:</w:t>
      </w:r>
    </w:p>
    <w:p w14:paraId="60CF1536" w14:textId="731CCF5B" w:rsidR="003F3F98" w:rsidRDefault="003F3F98" w:rsidP="4667AA84">
      <w:pPr>
        <w:pStyle w:val="ListParagraph"/>
        <w:numPr>
          <w:ilvl w:val="0"/>
          <w:numId w:val="26"/>
        </w:numPr>
        <w:spacing w:line="276" w:lineRule="auto"/>
        <w:rPr>
          <w:rFonts w:eastAsia="MS Gothic" w:cstheme="minorBidi"/>
          <w:sz w:val="24"/>
          <w:szCs w:val="24"/>
        </w:rPr>
      </w:pPr>
      <w:r w:rsidRPr="4667AA84">
        <w:rPr>
          <w:rFonts w:eastAsia="MS Gothic" w:cstheme="minorBidi"/>
          <w:sz w:val="24"/>
          <w:szCs w:val="24"/>
        </w:rPr>
        <w:t>P</w:t>
      </w:r>
      <w:r w:rsidR="004D0569" w:rsidRPr="4667AA84">
        <w:rPr>
          <w:rFonts w:eastAsia="MS Gothic" w:cstheme="minorBidi"/>
          <w:sz w:val="24"/>
          <w:szCs w:val="24"/>
        </w:rPr>
        <w:t>ublic administration and safety</w:t>
      </w:r>
      <w:r w:rsidRPr="4667AA84">
        <w:rPr>
          <w:rFonts w:eastAsia="MS Gothic" w:cstheme="minorBidi"/>
          <w:sz w:val="24"/>
          <w:szCs w:val="24"/>
        </w:rPr>
        <w:t xml:space="preserve"> </w:t>
      </w:r>
      <w:r w:rsidR="000A3E56" w:rsidRPr="4667AA84">
        <w:rPr>
          <w:rFonts w:eastAsia="MS Gothic" w:cstheme="minorBidi"/>
          <w:sz w:val="24"/>
          <w:szCs w:val="24"/>
        </w:rPr>
        <w:t>expanded during the pandemic but contracted in 2023–24</w:t>
      </w:r>
      <w:r w:rsidR="7ECC87A9" w:rsidRPr="4667AA84">
        <w:rPr>
          <w:rFonts w:eastAsia="MS Gothic" w:cstheme="minorBidi"/>
          <w:sz w:val="24"/>
          <w:szCs w:val="24"/>
        </w:rPr>
        <w:t xml:space="preserve"> and through 2025</w:t>
      </w:r>
      <w:r w:rsidR="000A3E56" w:rsidRPr="4667AA84">
        <w:rPr>
          <w:rFonts w:eastAsia="MS Gothic" w:cstheme="minorBidi"/>
          <w:sz w:val="24"/>
          <w:szCs w:val="24"/>
        </w:rPr>
        <w:t xml:space="preserve"> due to government spending cuts</w:t>
      </w:r>
      <w:r w:rsidR="119E943C" w:rsidRPr="4667AA84">
        <w:rPr>
          <w:rFonts w:eastAsia="MS Gothic" w:cstheme="minorBidi"/>
          <w:sz w:val="24"/>
          <w:szCs w:val="24"/>
        </w:rPr>
        <w:t>.</w:t>
      </w:r>
    </w:p>
    <w:p w14:paraId="633B44A6" w14:textId="75CE52A7" w:rsidR="00172C03" w:rsidRDefault="003F3F98" w:rsidP="00E334E7">
      <w:pPr>
        <w:pStyle w:val="ListParagraph"/>
        <w:numPr>
          <w:ilvl w:val="0"/>
          <w:numId w:val="26"/>
        </w:numPr>
        <w:spacing w:line="276" w:lineRule="auto"/>
        <w:rPr>
          <w:rFonts w:eastAsia="MS Gothic" w:cstheme="minorHAnsi"/>
          <w:sz w:val="24"/>
          <w:szCs w:val="24"/>
        </w:rPr>
      </w:pPr>
      <w:r w:rsidRPr="00E334E7">
        <w:rPr>
          <w:rFonts w:eastAsia="MS Gothic" w:cstheme="minorHAnsi"/>
          <w:sz w:val="24"/>
          <w:szCs w:val="24"/>
        </w:rPr>
        <w:t>P</w:t>
      </w:r>
      <w:r w:rsidR="004D0569" w:rsidRPr="00E334E7">
        <w:rPr>
          <w:rFonts w:eastAsia="MS Gothic" w:cstheme="minorHAnsi"/>
          <w:sz w:val="24"/>
          <w:szCs w:val="24"/>
        </w:rPr>
        <w:t>rofessional, scientific and technical services</w:t>
      </w:r>
      <w:r w:rsidR="002D1061" w:rsidRPr="00E334E7">
        <w:rPr>
          <w:rFonts w:eastAsia="MS Gothic" w:cstheme="minorHAnsi"/>
          <w:sz w:val="24"/>
          <w:szCs w:val="24"/>
        </w:rPr>
        <w:t xml:space="preserve"> experienced growth from 2020 to 2022 but contracted by 3.4% in 2023–24 following reduced government outsourcing and declines in private-sector spend.</w:t>
      </w:r>
    </w:p>
    <w:p w14:paraId="53E4FFB6" w14:textId="40332647" w:rsidR="00C77824" w:rsidRPr="00E334E7" w:rsidRDefault="003F3F98" w:rsidP="00E334E7">
      <w:pPr>
        <w:pStyle w:val="ListParagraph"/>
        <w:numPr>
          <w:ilvl w:val="0"/>
          <w:numId w:val="26"/>
        </w:numPr>
        <w:spacing w:line="276" w:lineRule="auto"/>
        <w:rPr>
          <w:rFonts w:eastAsia="MS Gothic" w:cstheme="minorHAnsi"/>
          <w:sz w:val="24"/>
          <w:szCs w:val="24"/>
        </w:rPr>
      </w:pPr>
      <w:r w:rsidRPr="00E334E7">
        <w:rPr>
          <w:rFonts w:eastAsia="MS Gothic" w:cstheme="minorHAnsi"/>
          <w:sz w:val="24"/>
          <w:szCs w:val="24"/>
        </w:rPr>
        <w:t>F</w:t>
      </w:r>
      <w:r w:rsidR="00995DD1" w:rsidRPr="00E334E7">
        <w:rPr>
          <w:rFonts w:eastAsia="MS Gothic" w:cstheme="minorHAnsi"/>
          <w:sz w:val="24"/>
          <w:szCs w:val="24"/>
        </w:rPr>
        <w:t xml:space="preserve">inancial and insurance services </w:t>
      </w:r>
      <w:r w:rsidRPr="00E334E7">
        <w:rPr>
          <w:rFonts w:eastAsia="MS Gothic" w:cstheme="minorHAnsi"/>
          <w:sz w:val="24"/>
          <w:szCs w:val="24"/>
        </w:rPr>
        <w:t>experienced</w:t>
      </w:r>
      <w:r w:rsidR="002D1061" w:rsidRPr="00E334E7">
        <w:rPr>
          <w:rFonts w:eastAsia="MS Gothic" w:cstheme="minorHAnsi"/>
          <w:sz w:val="24"/>
          <w:szCs w:val="24"/>
        </w:rPr>
        <w:t xml:space="preserve"> moderate growth until 2022</w:t>
      </w:r>
      <w:r w:rsidRPr="00E334E7">
        <w:rPr>
          <w:rFonts w:eastAsia="MS Gothic" w:cstheme="minorHAnsi"/>
          <w:sz w:val="24"/>
          <w:szCs w:val="24"/>
        </w:rPr>
        <w:t>. T</w:t>
      </w:r>
      <w:r w:rsidR="002D1061" w:rsidRPr="00E334E7">
        <w:rPr>
          <w:rFonts w:eastAsia="MS Gothic" w:cstheme="minorHAnsi"/>
          <w:sz w:val="24"/>
          <w:szCs w:val="24"/>
        </w:rPr>
        <w:t>he sector’s momentum slowed in 2023–24 due to rising interest rates and economic uncertainty. Stability was forecast for 2025, with modest growth expected later as interest rates ease and business and consumer confidence improves.</w:t>
      </w:r>
    </w:p>
    <w:p w14:paraId="2BD45392" w14:textId="6AA427CF" w:rsidR="00E334E7" w:rsidRPr="00E6041E" w:rsidRDefault="00E334E7" w:rsidP="00E334E7">
      <w:pPr>
        <w:pStyle w:val="ListParagraph"/>
        <w:numPr>
          <w:ilvl w:val="0"/>
          <w:numId w:val="26"/>
        </w:numPr>
        <w:spacing w:line="276" w:lineRule="auto"/>
        <w:contextualSpacing w:val="0"/>
        <w:rPr>
          <w:rFonts w:eastAsia="MS Gothic" w:cstheme="minorHAnsi"/>
          <w:sz w:val="24"/>
          <w:szCs w:val="24"/>
        </w:rPr>
      </w:pPr>
      <w:r w:rsidRPr="00E6041E">
        <w:rPr>
          <w:rFonts w:eastAsia="MS Gothic" w:cstheme="minorHAnsi"/>
          <w:sz w:val="24"/>
          <w:szCs w:val="24"/>
        </w:rPr>
        <w:t>Information media and telecommunications (ICT) grew during 2021–22 but experienced stagnation and a slight decline in 2023–24. Moderate growth of approximately 3% was projected for 2025, supported by new startups, increased investment, and a rebound in the film and screen sector.</w:t>
      </w:r>
    </w:p>
    <w:p w14:paraId="0B96C57C" w14:textId="217C3EEC" w:rsidR="0040462A" w:rsidRPr="00E6041E" w:rsidRDefault="00E334E7" w:rsidP="00E334E7">
      <w:pPr>
        <w:pStyle w:val="ListParagraph"/>
        <w:numPr>
          <w:ilvl w:val="0"/>
          <w:numId w:val="26"/>
        </w:numPr>
        <w:spacing w:line="276" w:lineRule="auto"/>
        <w:contextualSpacing w:val="0"/>
        <w:rPr>
          <w:rFonts w:eastAsia="MS Gothic" w:cstheme="minorHAnsi"/>
          <w:sz w:val="24"/>
          <w:szCs w:val="24"/>
        </w:rPr>
      </w:pPr>
      <w:r>
        <w:rPr>
          <w:rFonts w:eastAsia="MS Gothic" w:cstheme="minorHAnsi"/>
          <w:sz w:val="24"/>
          <w:szCs w:val="24"/>
        </w:rPr>
        <w:t>The e</w:t>
      </w:r>
      <w:r w:rsidRPr="00E6041E">
        <w:rPr>
          <w:rFonts w:eastAsia="MS Gothic" w:cstheme="minorHAnsi"/>
          <w:sz w:val="24"/>
          <w:szCs w:val="24"/>
        </w:rPr>
        <w:t>ducation</w:t>
      </w:r>
      <w:r w:rsidR="5A26AE38" w:rsidRPr="00E6041E">
        <w:rPr>
          <w:rFonts w:eastAsia="MS Gothic" w:cstheme="minorHAnsi"/>
          <w:sz w:val="24"/>
          <w:szCs w:val="24"/>
        </w:rPr>
        <w:t xml:space="preserve"> sector was severely impacted by the pandemic, particularly due to the loss of international students. Recovery began in 2023–24, </w:t>
      </w:r>
      <w:r w:rsidR="0E847C98" w:rsidRPr="00E6041E">
        <w:rPr>
          <w:rFonts w:eastAsia="MS Gothic" w:cstheme="minorHAnsi"/>
          <w:sz w:val="24"/>
          <w:szCs w:val="24"/>
        </w:rPr>
        <w:t>with</w:t>
      </w:r>
      <w:r w:rsidR="5A26AE38" w:rsidRPr="00E6041E">
        <w:rPr>
          <w:rFonts w:eastAsia="MS Gothic" w:cstheme="minorHAnsi"/>
          <w:sz w:val="24"/>
          <w:szCs w:val="24"/>
        </w:rPr>
        <w:t xml:space="preserve"> a strong rebound expected </w:t>
      </w:r>
      <w:r w:rsidR="00906819">
        <w:rPr>
          <w:rFonts w:eastAsia="MS Gothic" w:cstheme="minorHAnsi"/>
          <w:sz w:val="24"/>
          <w:szCs w:val="24"/>
        </w:rPr>
        <w:t>from</w:t>
      </w:r>
      <w:r w:rsidR="5A26AE38" w:rsidRPr="00E6041E">
        <w:rPr>
          <w:rFonts w:eastAsia="MS Gothic" w:cstheme="minorHAnsi"/>
          <w:sz w:val="24"/>
          <w:szCs w:val="24"/>
        </w:rPr>
        <w:t xml:space="preserve"> 2025 as foreign students return and domestic enrolments remain stable, potentially increasing GDP by 5–10%.</w:t>
      </w:r>
    </w:p>
    <w:p w14:paraId="3222D76D" w14:textId="77777777" w:rsidR="0040462A" w:rsidRPr="00E6041E" w:rsidRDefault="0040462A" w:rsidP="00E334E7">
      <w:pPr>
        <w:pStyle w:val="ListParagraph"/>
        <w:numPr>
          <w:ilvl w:val="0"/>
          <w:numId w:val="26"/>
        </w:numPr>
        <w:spacing w:line="276" w:lineRule="auto"/>
        <w:contextualSpacing w:val="0"/>
        <w:rPr>
          <w:rFonts w:eastAsia="MS Gothic" w:cstheme="minorHAnsi"/>
          <w:sz w:val="24"/>
          <w:szCs w:val="24"/>
        </w:rPr>
      </w:pPr>
      <w:r w:rsidRPr="00E6041E">
        <w:rPr>
          <w:rFonts w:eastAsia="MS Gothic" w:cstheme="minorHAnsi"/>
          <w:sz w:val="24"/>
          <w:szCs w:val="24"/>
        </w:rPr>
        <w:t xml:space="preserve">Healthcare </w:t>
      </w:r>
      <w:r w:rsidR="6CC761AC" w:rsidRPr="00E6041E">
        <w:rPr>
          <w:rFonts w:eastAsia="MS Gothic" w:cstheme="minorHAnsi"/>
          <w:sz w:val="24"/>
          <w:szCs w:val="24"/>
        </w:rPr>
        <w:t>and</w:t>
      </w:r>
      <w:r w:rsidRPr="00E6041E">
        <w:rPr>
          <w:rFonts w:eastAsia="MS Gothic" w:cstheme="minorHAnsi"/>
          <w:sz w:val="24"/>
          <w:szCs w:val="24"/>
        </w:rPr>
        <w:t xml:space="preserve"> social assistance continues its steady expansion, driven primarily by the region’s ageing population.</w:t>
      </w:r>
    </w:p>
    <w:p w14:paraId="7DAF3EF8" w14:textId="143F6AC9" w:rsidR="0040462A" w:rsidRPr="00E6041E" w:rsidRDefault="28408152" w:rsidP="4667AA84">
      <w:pPr>
        <w:pStyle w:val="ListParagraph"/>
        <w:numPr>
          <w:ilvl w:val="0"/>
          <w:numId w:val="26"/>
        </w:numPr>
        <w:spacing w:line="276" w:lineRule="auto"/>
        <w:contextualSpacing w:val="0"/>
        <w:rPr>
          <w:rFonts w:eastAsia="MS Gothic" w:cstheme="minorBidi"/>
          <w:sz w:val="24"/>
          <w:szCs w:val="24"/>
        </w:rPr>
      </w:pPr>
      <w:r w:rsidRPr="4667AA84">
        <w:rPr>
          <w:rFonts w:eastAsia="MS Gothic" w:cstheme="minorBidi"/>
          <w:sz w:val="24"/>
          <w:szCs w:val="24"/>
        </w:rPr>
        <w:t xml:space="preserve">Tourism </w:t>
      </w:r>
      <w:r w:rsidR="62959BF6" w:rsidRPr="4667AA84">
        <w:rPr>
          <w:rFonts w:eastAsia="MS Gothic" w:cstheme="minorBidi"/>
          <w:sz w:val="24"/>
          <w:szCs w:val="24"/>
        </w:rPr>
        <w:t>and</w:t>
      </w:r>
      <w:r w:rsidRPr="4667AA84">
        <w:rPr>
          <w:rFonts w:eastAsia="MS Gothic" w:cstheme="minorBidi"/>
          <w:sz w:val="24"/>
          <w:szCs w:val="24"/>
        </w:rPr>
        <w:t xml:space="preserve"> hospitality </w:t>
      </w:r>
      <w:r w:rsidR="3DE6850B" w:rsidRPr="4667AA84">
        <w:rPr>
          <w:rFonts w:eastAsia="MS Gothic" w:cstheme="minorBidi"/>
          <w:sz w:val="24"/>
          <w:szCs w:val="24"/>
        </w:rPr>
        <w:t>are</w:t>
      </w:r>
      <w:r w:rsidRPr="4667AA84">
        <w:rPr>
          <w:rFonts w:eastAsia="MS Gothic" w:cstheme="minorBidi"/>
          <w:sz w:val="24"/>
          <w:szCs w:val="24"/>
        </w:rPr>
        <w:t xml:space="preserve"> in recovery mode, supported by </w:t>
      </w:r>
      <w:r w:rsidR="179D99FC" w:rsidRPr="4667AA84">
        <w:rPr>
          <w:rFonts w:eastAsia="MS Gothic" w:cstheme="minorBidi"/>
          <w:sz w:val="24"/>
          <w:szCs w:val="24"/>
        </w:rPr>
        <w:t>a year-round calendar of major events</w:t>
      </w:r>
      <w:r w:rsidRPr="4667AA84">
        <w:rPr>
          <w:rFonts w:eastAsia="MS Gothic" w:cstheme="minorBidi"/>
          <w:sz w:val="24"/>
          <w:szCs w:val="24"/>
        </w:rPr>
        <w:t>; however, the</w:t>
      </w:r>
      <w:r w:rsidR="0E6CD4A7" w:rsidRPr="4667AA84">
        <w:rPr>
          <w:rFonts w:eastAsia="MS Gothic" w:cstheme="minorBidi"/>
          <w:sz w:val="24"/>
          <w:szCs w:val="24"/>
        </w:rPr>
        <w:t>se</w:t>
      </w:r>
      <w:r w:rsidRPr="4667AA84">
        <w:rPr>
          <w:rFonts w:eastAsia="MS Gothic" w:cstheme="minorBidi"/>
          <w:sz w:val="24"/>
          <w:szCs w:val="24"/>
        </w:rPr>
        <w:t xml:space="preserve"> sector</w:t>
      </w:r>
      <w:r w:rsidR="4A30EF24" w:rsidRPr="4667AA84">
        <w:rPr>
          <w:rFonts w:eastAsia="MS Gothic" w:cstheme="minorBidi"/>
          <w:sz w:val="24"/>
          <w:szCs w:val="24"/>
        </w:rPr>
        <w:t>s</w:t>
      </w:r>
      <w:r w:rsidRPr="4667AA84">
        <w:rPr>
          <w:rFonts w:eastAsia="MS Gothic" w:cstheme="minorBidi"/>
          <w:sz w:val="24"/>
          <w:szCs w:val="24"/>
        </w:rPr>
        <w:t xml:space="preserve"> continue to face challenges from high operating costs.</w:t>
      </w:r>
    </w:p>
    <w:p w14:paraId="470FB025" w14:textId="77777777" w:rsidR="0040462A" w:rsidRPr="00E6041E" w:rsidRDefault="0040462A" w:rsidP="00E334E7">
      <w:pPr>
        <w:pStyle w:val="ListParagraph"/>
        <w:numPr>
          <w:ilvl w:val="0"/>
          <w:numId w:val="26"/>
        </w:numPr>
        <w:spacing w:line="276" w:lineRule="auto"/>
        <w:contextualSpacing w:val="0"/>
        <w:rPr>
          <w:rFonts w:eastAsia="MS Gothic" w:cstheme="minorHAnsi"/>
          <w:sz w:val="24"/>
          <w:szCs w:val="24"/>
        </w:rPr>
      </w:pPr>
      <w:r w:rsidRPr="00E6041E">
        <w:rPr>
          <w:rFonts w:eastAsia="MS Gothic" w:cstheme="minorHAnsi"/>
          <w:sz w:val="24"/>
          <w:szCs w:val="24"/>
        </w:rPr>
        <w:t>Construction activity has declined since 2022. The sector may stabilise or see slight improvement by late 2025, contingent on a reduction in interest rates.</w:t>
      </w:r>
    </w:p>
    <w:p w14:paraId="427165E7" w14:textId="77777777" w:rsidR="00134B81" w:rsidRPr="00E6041E" w:rsidRDefault="0040462A" w:rsidP="00E334E7">
      <w:pPr>
        <w:pStyle w:val="ListParagraph"/>
        <w:numPr>
          <w:ilvl w:val="0"/>
          <w:numId w:val="26"/>
        </w:numPr>
        <w:spacing w:line="276" w:lineRule="auto"/>
        <w:contextualSpacing w:val="0"/>
        <w:rPr>
          <w:rFonts w:eastAsia="MS Gothic" w:cstheme="minorHAnsi"/>
          <w:sz w:val="24"/>
          <w:szCs w:val="24"/>
        </w:rPr>
      </w:pPr>
      <w:r w:rsidRPr="00E6041E">
        <w:rPr>
          <w:rFonts w:eastAsia="MS Gothic" w:cstheme="minorHAnsi"/>
          <w:sz w:val="24"/>
          <w:szCs w:val="24"/>
        </w:rPr>
        <w:t>General trends indicate that widespread job insecurity has dampened consumer confidence, resulting in reduced spending across hospitality and retail sectors.</w:t>
      </w:r>
    </w:p>
    <w:p w14:paraId="135F2F5B" w14:textId="77777777" w:rsidR="00134B81" w:rsidRPr="00E6041E" w:rsidRDefault="3548261F" w:rsidP="00E334E7">
      <w:pPr>
        <w:pStyle w:val="ListParagraph"/>
        <w:numPr>
          <w:ilvl w:val="0"/>
          <w:numId w:val="26"/>
        </w:numPr>
        <w:shd w:val="clear" w:color="auto" w:fill="FFFFFF" w:themeFill="background1"/>
        <w:spacing w:line="276" w:lineRule="auto"/>
        <w:contextualSpacing w:val="0"/>
        <w:rPr>
          <w:rFonts w:eastAsia="MS Gothic" w:cstheme="minorHAnsi"/>
          <w:sz w:val="24"/>
          <w:szCs w:val="24"/>
        </w:rPr>
      </w:pPr>
      <w:r w:rsidRPr="00E6041E">
        <w:rPr>
          <w:rFonts w:eastAsia="MS Gothic" w:cstheme="minorHAnsi"/>
          <w:sz w:val="24"/>
          <w:szCs w:val="24"/>
        </w:rPr>
        <w:t xml:space="preserve">Infometrics ranks Wellington as the most creative city in New Zealand, with the highest proportion of jobs in the arts and creative sector of any area in New Zealand. In </w:t>
      </w:r>
      <w:r w:rsidR="1EBCA65B" w:rsidRPr="00E6041E">
        <w:rPr>
          <w:rFonts w:eastAsia="MS Gothic" w:cstheme="minorHAnsi"/>
          <w:sz w:val="24"/>
          <w:szCs w:val="24"/>
        </w:rPr>
        <w:t>2024, 6.72</w:t>
      </w:r>
      <w:r w:rsidRPr="00E6041E">
        <w:rPr>
          <w:rFonts w:eastAsia="MS Gothic" w:cstheme="minorHAnsi"/>
          <w:sz w:val="24"/>
          <w:szCs w:val="24"/>
        </w:rPr>
        <w:t>% of Wellington’s workforce was employed in creative work.</w:t>
      </w:r>
    </w:p>
    <w:p w14:paraId="4807B769" w14:textId="77777777" w:rsidR="00172C03" w:rsidRDefault="00172C03" w:rsidP="00AA010F">
      <w:pPr>
        <w:spacing w:line="276" w:lineRule="auto"/>
        <w:rPr>
          <w:rFonts w:eastAsia="MS Gothic" w:cstheme="minorHAnsi"/>
          <w:sz w:val="24"/>
          <w:szCs w:val="24"/>
        </w:rPr>
      </w:pPr>
    </w:p>
    <w:p w14:paraId="49931182" w14:textId="78DC7003" w:rsidR="4E421C64" w:rsidRPr="00E6041E" w:rsidRDefault="68952F3F" w:rsidP="68952F3F">
      <w:pPr>
        <w:spacing w:line="276" w:lineRule="auto"/>
        <w:rPr>
          <w:rFonts w:eastAsia="MS Gothic" w:cstheme="minorBidi"/>
          <w:sz w:val="24"/>
          <w:szCs w:val="24"/>
        </w:rPr>
      </w:pPr>
      <w:r w:rsidRPr="68952F3F">
        <w:rPr>
          <w:rFonts w:eastAsia="MS Gothic" w:cstheme="minorBidi"/>
          <w:sz w:val="24"/>
          <w:szCs w:val="24"/>
        </w:rPr>
        <w:t>Continual contraction in employment and ongoing sector concentration further risks the city’s economic resilience</w:t>
      </w:r>
      <w:r w:rsidR="2E6BBFEE" w:rsidRPr="68952F3F">
        <w:rPr>
          <w:rFonts w:eastAsia="MS Gothic" w:cstheme="minorBidi"/>
          <w:sz w:val="24"/>
          <w:szCs w:val="24"/>
        </w:rPr>
        <w:t xml:space="preserve">. </w:t>
      </w:r>
      <w:r w:rsidR="28B235BA" w:rsidRPr="68952F3F">
        <w:rPr>
          <w:rFonts w:eastAsia="MS Gothic" w:cstheme="minorBidi"/>
          <w:sz w:val="24"/>
          <w:szCs w:val="24"/>
        </w:rPr>
        <w:t>While</w:t>
      </w:r>
      <w:r w:rsidR="6E09D908" w:rsidRPr="68952F3F">
        <w:rPr>
          <w:rFonts w:eastAsia="MS Gothic" w:cstheme="minorBidi"/>
          <w:sz w:val="24"/>
          <w:szCs w:val="24"/>
        </w:rPr>
        <w:t xml:space="preserve"> the</w:t>
      </w:r>
      <w:r w:rsidR="28B235BA" w:rsidRPr="68952F3F">
        <w:rPr>
          <w:rFonts w:eastAsia="MS Gothic" w:cstheme="minorBidi"/>
          <w:sz w:val="24"/>
          <w:szCs w:val="24"/>
        </w:rPr>
        <w:t xml:space="preserve"> Council’s ability to influence macro-economic trends is constrained, it does play a role in the city’s affordability and ensuring Wellington remains a highly liveable city that can attract the talent and investment needed for economic growth. </w:t>
      </w:r>
    </w:p>
    <w:p w14:paraId="4430814A" w14:textId="05B81440" w:rsidR="4E421C64" w:rsidRPr="00E6041E" w:rsidRDefault="4E421C64" w:rsidP="68952F3F">
      <w:pPr>
        <w:spacing w:line="276" w:lineRule="auto"/>
        <w:rPr>
          <w:rFonts w:eastAsia="MS Gothic" w:cstheme="minorBidi"/>
          <w:sz w:val="24"/>
          <w:szCs w:val="24"/>
        </w:rPr>
      </w:pPr>
    </w:p>
    <w:p w14:paraId="6FAB6901" w14:textId="6A001C14" w:rsidR="00FE2A34" w:rsidRPr="00FE2A34" w:rsidRDefault="00FE2A34" w:rsidP="00AA010F">
      <w:pPr>
        <w:spacing w:line="276" w:lineRule="auto"/>
        <w:rPr>
          <w:rFonts w:eastAsia="MS Gothic" w:cstheme="minorHAnsi"/>
          <w:b/>
          <w:bCs/>
          <w:sz w:val="24"/>
          <w:szCs w:val="24"/>
        </w:rPr>
      </w:pPr>
      <w:r w:rsidRPr="00FE2A34">
        <w:rPr>
          <w:rFonts w:eastAsia="MS Gothic" w:cstheme="minorHAnsi"/>
          <w:b/>
          <w:bCs/>
          <w:sz w:val="24"/>
          <w:szCs w:val="24"/>
        </w:rPr>
        <w:t>Council economic</w:t>
      </w:r>
      <w:r>
        <w:rPr>
          <w:rFonts w:eastAsia="MS Gothic" w:cstheme="minorHAnsi"/>
          <w:b/>
          <w:bCs/>
          <w:sz w:val="24"/>
          <w:szCs w:val="24"/>
        </w:rPr>
        <w:t xml:space="preserve"> investment</w:t>
      </w:r>
      <w:r w:rsidRPr="00FE2A34">
        <w:rPr>
          <w:rFonts w:eastAsia="MS Gothic" w:cstheme="minorHAnsi"/>
          <w:b/>
          <w:bCs/>
          <w:sz w:val="24"/>
          <w:szCs w:val="24"/>
        </w:rPr>
        <w:t xml:space="preserve"> performance measures</w:t>
      </w:r>
    </w:p>
    <w:p w14:paraId="00FB486F" w14:textId="48DB28B8" w:rsidR="00FE2A34" w:rsidRDefault="00FE2A34" w:rsidP="59239E29">
      <w:pPr>
        <w:spacing w:line="276" w:lineRule="auto"/>
        <w:rPr>
          <w:rFonts w:eastAsia="MS Gothic" w:cstheme="minorBidi"/>
          <w:sz w:val="24"/>
          <w:szCs w:val="24"/>
        </w:rPr>
      </w:pPr>
      <w:r w:rsidRPr="00FE2A34">
        <w:rPr>
          <w:rFonts w:eastAsia="MS Gothic" w:cstheme="minorBidi"/>
          <w:sz w:val="24"/>
          <w:szCs w:val="24"/>
        </w:rPr>
        <w:t xml:space="preserve">The 2024/25 results indicate strong performance across most key economic development measures in the Wellington region for activities undertaken by WellingtonNZ. </w:t>
      </w:r>
      <w:r w:rsidR="1CDD5D01" w:rsidRPr="59239E29">
        <w:rPr>
          <w:rFonts w:eastAsia="MS Gothic" w:cstheme="minorBidi"/>
          <w:sz w:val="24"/>
          <w:szCs w:val="24"/>
        </w:rPr>
        <w:t xml:space="preserve">Client satisfaction remained high, especially among Māori and Pasifika businesses receiving support, with satisfaction rates of 92% and 100% respectively. However, the target for funding diversification was not met, suggesting ongoing reliance on Council funding. Overall, these results reflect robust community engagement, positive economic outcomes, and effective support for diverse business groups, as detailed in the 2024/25 Annual </w:t>
      </w:r>
      <w:r w:rsidR="00FF3D35" w:rsidRPr="00DE74EE">
        <w:rPr>
          <w:rFonts w:eastAsia="MS Gothic" w:cstheme="minorBidi"/>
          <w:noProof/>
          <w:sz w:val="24"/>
          <w:szCs w:val="24"/>
        </w:rPr>
        <w:drawing>
          <wp:anchor distT="0" distB="0" distL="114300" distR="114300" simplePos="0" relativeHeight="251658247" behindDoc="1" locked="0" layoutInCell="1" allowOverlap="1" wp14:anchorId="5FCDDAD1" wp14:editId="157DE0D4">
            <wp:simplePos x="0" y="0"/>
            <wp:positionH relativeFrom="margin">
              <wp:align>left</wp:align>
            </wp:positionH>
            <wp:positionV relativeFrom="paragraph">
              <wp:posOffset>1376482</wp:posOffset>
            </wp:positionV>
            <wp:extent cx="6358255" cy="1653540"/>
            <wp:effectExtent l="0" t="0" r="4445" b="3810"/>
            <wp:wrapTight wrapText="bothSides">
              <wp:wrapPolygon edited="0">
                <wp:start x="0" y="0"/>
                <wp:lineTo x="0" y="21401"/>
                <wp:lineTo x="21550" y="21401"/>
                <wp:lineTo x="21550" y="0"/>
                <wp:lineTo x="0" y="0"/>
              </wp:wrapPolygon>
            </wp:wrapTight>
            <wp:docPr id="1722693008" name="Picture 1" descr="Indicators (mostly sourced from WellingtonNZ data)&#10;44% of the Council's total rates come from commercial ratepayers&#10;627 thousand residnets participating at local events, exceeding targets&#10;2684 engaged in WellingtonNZ intervention business programmes, surpassing expectations&#10;$31m in advertising value generated through media activity, well above target&#10;$201m direct economic impact from WellingtonNZ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93008" name="Picture 1" descr="Indicators (mostly sourced from WellingtonNZ data)&#10;44% of the Council's total rates come from commercial ratepayers&#10;627 thousand residnets participating at local events, exceeding targets&#10;2684 engaged in WellingtonNZ intervention business programmes, surpassing expectations&#10;$31m in advertising value generated through media activity, well above target&#10;$201m direct economic impact from WellingtonNZ activities"/>
                    <pic:cNvPicPr/>
                  </pic:nvPicPr>
                  <pic:blipFill>
                    <a:blip r:embed="rId26"/>
                    <a:stretch>
                      <a:fillRect/>
                    </a:stretch>
                  </pic:blipFill>
                  <pic:spPr>
                    <a:xfrm>
                      <a:off x="0" y="0"/>
                      <a:ext cx="6358255" cy="1653540"/>
                    </a:xfrm>
                    <a:prstGeom prst="rect">
                      <a:avLst/>
                    </a:prstGeom>
                  </pic:spPr>
                </pic:pic>
              </a:graphicData>
            </a:graphic>
            <wp14:sizeRelH relativeFrom="margin">
              <wp14:pctWidth>0</wp14:pctWidth>
            </wp14:sizeRelH>
            <wp14:sizeRelV relativeFrom="margin">
              <wp14:pctHeight>0</wp14:pctHeight>
            </wp14:sizeRelV>
          </wp:anchor>
        </w:drawing>
      </w:r>
      <w:r w:rsidR="1CDD5D01" w:rsidRPr="59239E29">
        <w:rPr>
          <w:rFonts w:eastAsia="MS Gothic" w:cstheme="minorBidi"/>
          <w:sz w:val="24"/>
          <w:szCs w:val="24"/>
        </w:rPr>
        <w:t>Report.</w:t>
      </w:r>
    </w:p>
    <w:p w14:paraId="2C3308FE" w14:textId="7D9F8187" w:rsidR="00156144" w:rsidRPr="0097782B" w:rsidRDefault="00340517" w:rsidP="0097782B">
      <w:pPr>
        <w:spacing w:line="276" w:lineRule="auto"/>
        <w:rPr>
          <w:rFonts w:eastAsia="MS Gothic" w:cstheme="minorBidi"/>
          <w:sz w:val="24"/>
          <w:szCs w:val="24"/>
        </w:rPr>
      </w:pPr>
      <w:r>
        <w:rPr>
          <w:rFonts w:eastAsia="MS Gothic" w:cstheme="minorBidi"/>
          <w:noProof/>
          <w:sz w:val="24"/>
          <w:szCs w:val="24"/>
        </w:rPr>
        <w:drawing>
          <wp:inline distT="0" distB="0" distL="0" distR="0" wp14:anchorId="6B3919D1" wp14:editId="207E38E8">
            <wp:extent cx="6116955" cy="4077970"/>
            <wp:effectExtent l="0" t="0" r="0" b="0"/>
            <wp:docPr id="1942253871" name="Picture 3" descr="Photograph of a person holding a cardboard tray filled with loaded fries topped with melted cheese, sauce, and chopped herbs. The person wears a black and white striped apron, and a wooden fork is inserted into the fries, highlighting a street food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253871" name="Picture 3" descr="Photograph of a person holding a cardboard tray filled with loaded fries topped with melted cheese, sauce, and chopped herbs. The person wears a black and white striped apron, and a wooden fork is inserted into the fries, highlighting a street food presentation."/>
                    <pic:cNvPicPr/>
                  </pic:nvPicPr>
                  <pic:blipFill>
                    <a:blip r:embed="rId27"/>
                    <a:stretch>
                      <a:fillRect/>
                    </a:stretch>
                  </pic:blipFill>
                  <pic:spPr>
                    <a:xfrm>
                      <a:off x="0" y="0"/>
                      <a:ext cx="6116955" cy="4077970"/>
                    </a:xfrm>
                    <a:prstGeom prst="rect">
                      <a:avLst/>
                    </a:prstGeom>
                  </pic:spPr>
                </pic:pic>
              </a:graphicData>
            </a:graphic>
          </wp:inline>
        </w:drawing>
      </w:r>
    </w:p>
    <w:p w14:paraId="24AC1971" w14:textId="2BE69B28" w:rsidR="0097782B" w:rsidRDefault="0097782B">
      <w:pPr>
        <w:rPr>
          <w:rFonts w:eastAsia="MS Gothic" w:cstheme="minorBidi"/>
          <w:b/>
          <w:bCs/>
          <w:kern w:val="32"/>
          <w:sz w:val="40"/>
          <w:szCs w:val="40"/>
        </w:rPr>
      </w:pPr>
      <w:r>
        <w:rPr>
          <w:rFonts w:cstheme="minorBidi"/>
          <w:sz w:val="40"/>
          <w:szCs w:val="40"/>
        </w:rPr>
        <w:br w:type="page"/>
      </w:r>
    </w:p>
    <w:p w14:paraId="286D6641" w14:textId="1CACCCA1" w:rsidR="3B8C1A08" w:rsidRPr="00172C03" w:rsidRDefault="2710C29E" w:rsidP="3C7EFEEB">
      <w:pPr>
        <w:pStyle w:val="Heading1"/>
        <w:rPr>
          <w:rFonts w:asciiTheme="minorHAnsi" w:hAnsiTheme="minorHAnsi" w:cstheme="minorBidi"/>
          <w:sz w:val="40"/>
          <w:szCs w:val="40"/>
        </w:rPr>
      </w:pPr>
      <w:bookmarkStart w:id="21" w:name="_Toc223964613"/>
      <w:r w:rsidRPr="3C7EFEEB">
        <w:rPr>
          <w:rFonts w:asciiTheme="minorHAnsi" w:hAnsiTheme="minorHAnsi" w:cstheme="minorBidi"/>
          <w:sz w:val="40"/>
          <w:szCs w:val="40"/>
        </w:rPr>
        <w:t>Stakeholder views</w:t>
      </w:r>
      <w:r w:rsidR="008E75A5" w:rsidRPr="3C7EFEEB">
        <w:rPr>
          <w:rFonts w:asciiTheme="minorHAnsi" w:hAnsiTheme="minorHAnsi" w:cstheme="minorBidi"/>
          <w:sz w:val="40"/>
          <w:szCs w:val="40"/>
        </w:rPr>
        <w:t xml:space="preserve"> about Economic Development</w:t>
      </w:r>
      <w:bookmarkEnd w:id="21"/>
    </w:p>
    <w:p w14:paraId="6BE7748C" w14:textId="77777777" w:rsidR="00172C03" w:rsidRDefault="00172C03" w:rsidP="00172C03">
      <w:pPr>
        <w:pStyle w:val="Body"/>
        <w:spacing w:after="0" w:line="276" w:lineRule="auto"/>
        <w:rPr>
          <w:rFonts w:eastAsia="MS Gothic" w:cstheme="minorBidi"/>
          <w:sz w:val="24"/>
          <w:szCs w:val="24"/>
        </w:rPr>
      </w:pPr>
    </w:p>
    <w:p w14:paraId="45C362A3" w14:textId="1E73F52C" w:rsidR="2710C29E" w:rsidRPr="00E6041E" w:rsidRDefault="1CAC3E11" w:rsidP="00172C03">
      <w:pPr>
        <w:pStyle w:val="Body"/>
        <w:spacing w:after="0" w:line="276" w:lineRule="auto"/>
        <w:rPr>
          <w:rFonts w:eastAsia="MS Gothic" w:cstheme="minorBidi"/>
          <w:sz w:val="24"/>
          <w:szCs w:val="24"/>
        </w:rPr>
      </w:pPr>
      <w:r w:rsidRPr="2F9D2978">
        <w:rPr>
          <w:rFonts w:eastAsia="MS Gothic" w:cstheme="minorBidi"/>
          <w:sz w:val="24"/>
          <w:szCs w:val="24"/>
        </w:rPr>
        <w:t>The following views are themed feedback from public consultation on the 2024-34 Long</w:t>
      </w:r>
      <w:r w:rsidR="4B121C46" w:rsidRPr="2F9D2978">
        <w:rPr>
          <w:rFonts w:eastAsia="MS Gothic" w:cstheme="minorBidi"/>
          <w:sz w:val="24"/>
          <w:szCs w:val="24"/>
        </w:rPr>
        <w:t>-t</w:t>
      </w:r>
      <w:r w:rsidR="749A53A3" w:rsidRPr="2F9D2978">
        <w:rPr>
          <w:rFonts w:eastAsia="MS Gothic" w:cstheme="minorBidi"/>
          <w:sz w:val="24"/>
          <w:szCs w:val="24"/>
        </w:rPr>
        <w:t>erm</w:t>
      </w:r>
      <w:r w:rsidRPr="2F9D2978">
        <w:rPr>
          <w:rFonts w:eastAsia="MS Gothic" w:cstheme="minorBidi"/>
          <w:sz w:val="24"/>
          <w:szCs w:val="24"/>
        </w:rPr>
        <w:t xml:space="preserve"> Plan Amendment (LTPA), the 2025 Resident’s Monitoring Survey (RMS), and the Council’s Advisory Group minutes</w:t>
      </w:r>
      <w:r w:rsidR="14796F18" w:rsidRPr="2F9D2978">
        <w:rPr>
          <w:rFonts w:eastAsia="MS Gothic" w:cstheme="minorBidi"/>
          <w:sz w:val="24"/>
          <w:szCs w:val="24"/>
        </w:rPr>
        <w:t>.</w:t>
      </w:r>
    </w:p>
    <w:p w14:paraId="236FA3F2" w14:textId="77777777" w:rsidR="00172C03" w:rsidRDefault="00172C03" w:rsidP="00172C03">
      <w:pPr>
        <w:pStyle w:val="Body"/>
        <w:spacing w:after="0" w:line="276" w:lineRule="auto"/>
        <w:rPr>
          <w:rFonts w:eastAsia="MS Gothic" w:cstheme="minorHAnsi"/>
          <w:sz w:val="24"/>
          <w:szCs w:val="24"/>
        </w:rPr>
      </w:pPr>
    </w:p>
    <w:p w14:paraId="450C8520" w14:textId="0D6A6828" w:rsidR="2710C29E" w:rsidRPr="00E6041E" w:rsidRDefault="2710C29E" w:rsidP="00172C03">
      <w:pPr>
        <w:pStyle w:val="Body"/>
        <w:spacing w:after="0" w:line="276" w:lineRule="auto"/>
        <w:rPr>
          <w:rFonts w:eastAsia="MS Gothic" w:cstheme="minorBidi"/>
          <w:sz w:val="24"/>
          <w:szCs w:val="24"/>
        </w:rPr>
      </w:pPr>
      <w:r w:rsidRPr="68952F3F">
        <w:rPr>
          <w:rFonts w:eastAsia="MS Gothic" w:cstheme="minorBidi"/>
          <w:sz w:val="24"/>
          <w:szCs w:val="24"/>
        </w:rPr>
        <w:t xml:space="preserve">The 2025 Residents’ Monitoring Survey (RMS) highlighted that most Wellingtonians support Council initiatives like tourism and events, 92% believe tourism is good for the city and want more visitors, recognising the benefits of a </w:t>
      </w:r>
      <w:r w:rsidR="65E0E71D" w:rsidRPr="68952F3F">
        <w:rPr>
          <w:rFonts w:eastAsia="MS Gothic" w:cstheme="minorBidi"/>
          <w:sz w:val="24"/>
          <w:szCs w:val="24"/>
        </w:rPr>
        <w:t>more productive and resilient</w:t>
      </w:r>
      <w:r w:rsidRPr="68952F3F">
        <w:rPr>
          <w:rFonts w:eastAsia="MS Gothic" w:cstheme="minorBidi"/>
          <w:sz w:val="24"/>
          <w:szCs w:val="24"/>
        </w:rPr>
        <w:t xml:space="preserve"> visitor economy.</w:t>
      </w:r>
    </w:p>
    <w:p w14:paraId="7B5D06F0" w14:textId="1DCDA45F" w:rsidR="68952F3F" w:rsidRDefault="68952F3F" w:rsidP="68952F3F">
      <w:pPr>
        <w:pStyle w:val="Body"/>
        <w:spacing w:after="0" w:line="276" w:lineRule="auto"/>
        <w:rPr>
          <w:rFonts w:eastAsia="MS Gothic" w:cstheme="minorBidi"/>
          <w:sz w:val="24"/>
          <w:szCs w:val="24"/>
        </w:rPr>
      </w:pPr>
    </w:p>
    <w:p w14:paraId="62704A0E" w14:textId="1967D1BE" w:rsidR="2710C29E" w:rsidRPr="00E6041E" w:rsidRDefault="2710C29E" w:rsidP="00172C03">
      <w:pPr>
        <w:pStyle w:val="Body"/>
        <w:spacing w:after="0" w:line="276" w:lineRule="auto"/>
        <w:rPr>
          <w:rFonts w:eastAsia="MS Gothic" w:cstheme="minorBidi"/>
          <w:sz w:val="24"/>
          <w:szCs w:val="24"/>
        </w:rPr>
      </w:pPr>
      <w:r w:rsidRPr="2F9D2978">
        <w:rPr>
          <w:rFonts w:eastAsia="MS Gothic" w:cstheme="minorBidi"/>
          <w:sz w:val="24"/>
          <w:szCs w:val="24"/>
        </w:rPr>
        <w:t xml:space="preserve">However, </w:t>
      </w:r>
      <w:r w:rsidR="7A058B0E" w:rsidRPr="4E2CD2AA">
        <w:rPr>
          <w:rFonts w:eastAsia="MS Gothic" w:cstheme="minorBidi"/>
          <w:sz w:val="24"/>
          <w:szCs w:val="24"/>
        </w:rPr>
        <w:t xml:space="preserve">respondents </w:t>
      </w:r>
      <w:r w:rsidR="68E06AD9" w:rsidRPr="4E2CD2AA">
        <w:rPr>
          <w:rFonts w:eastAsia="MS Gothic" w:cstheme="minorBidi"/>
          <w:sz w:val="24"/>
          <w:szCs w:val="24"/>
        </w:rPr>
        <w:t xml:space="preserve">also </w:t>
      </w:r>
      <w:r w:rsidR="7A058B0E" w:rsidRPr="4E2CD2AA">
        <w:rPr>
          <w:rFonts w:eastAsia="MS Gothic" w:cstheme="minorBidi"/>
          <w:sz w:val="24"/>
          <w:szCs w:val="24"/>
        </w:rPr>
        <w:t>expressed concern</w:t>
      </w:r>
      <w:r w:rsidRPr="2F9D2978">
        <w:rPr>
          <w:rFonts w:eastAsia="MS Gothic" w:cstheme="minorBidi"/>
          <w:sz w:val="24"/>
          <w:szCs w:val="24"/>
        </w:rPr>
        <w:t xml:space="preserve"> about the Council’s spending priorities and the city’s direction during economic </w:t>
      </w:r>
      <w:r w:rsidR="2F10E4C3" w:rsidRPr="4E2CD2AA">
        <w:rPr>
          <w:rFonts w:eastAsia="MS Gothic" w:cstheme="minorBidi"/>
          <w:sz w:val="24"/>
          <w:szCs w:val="24"/>
        </w:rPr>
        <w:t>contraction</w:t>
      </w:r>
      <w:r w:rsidR="1068A1F7" w:rsidRPr="4E2CD2AA">
        <w:rPr>
          <w:rFonts w:eastAsia="MS Gothic" w:cstheme="minorBidi"/>
          <w:sz w:val="24"/>
          <w:szCs w:val="24"/>
        </w:rPr>
        <w:t>.</w:t>
      </w:r>
      <w:r w:rsidRPr="2F9D2978">
        <w:rPr>
          <w:rFonts w:eastAsia="MS Gothic" w:cstheme="minorBidi"/>
          <w:sz w:val="24"/>
          <w:szCs w:val="24"/>
        </w:rPr>
        <w:t xml:space="preserve"> There </w:t>
      </w:r>
      <w:r w:rsidR="61BACAB5" w:rsidRPr="4E2CD2AA">
        <w:rPr>
          <w:rFonts w:eastAsia="MS Gothic" w:cstheme="minorBidi"/>
          <w:sz w:val="24"/>
          <w:szCs w:val="24"/>
        </w:rPr>
        <w:t xml:space="preserve">is </w:t>
      </w:r>
      <w:r w:rsidR="6DAE4CBC" w:rsidRPr="4E2CD2AA">
        <w:rPr>
          <w:rFonts w:eastAsia="MS Gothic" w:cstheme="minorBidi"/>
          <w:sz w:val="24"/>
          <w:szCs w:val="24"/>
        </w:rPr>
        <w:t>feedback</w:t>
      </w:r>
      <w:r w:rsidRPr="2F9D2978">
        <w:rPr>
          <w:rFonts w:eastAsia="MS Gothic" w:cstheme="minorBidi"/>
          <w:sz w:val="24"/>
          <w:szCs w:val="24"/>
        </w:rPr>
        <w:t xml:space="preserve"> about rising rates, </w:t>
      </w:r>
      <w:r w:rsidR="6D2B7A93" w:rsidRPr="4E2CD2AA">
        <w:rPr>
          <w:rFonts w:eastAsia="MS Gothic" w:cstheme="minorBidi"/>
          <w:sz w:val="24"/>
          <w:szCs w:val="24"/>
        </w:rPr>
        <w:t xml:space="preserve">household and business </w:t>
      </w:r>
      <w:r w:rsidRPr="2F9D2978">
        <w:rPr>
          <w:rFonts w:eastAsia="MS Gothic" w:cstheme="minorBidi"/>
          <w:sz w:val="24"/>
          <w:szCs w:val="24"/>
        </w:rPr>
        <w:t>affordability</w:t>
      </w:r>
      <w:r w:rsidR="375A7A7D" w:rsidRPr="4E2CD2AA">
        <w:rPr>
          <w:rFonts w:eastAsia="MS Gothic" w:cstheme="minorBidi"/>
          <w:sz w:val="24"/>
          <w:szCs w:val="24"/>
        </w:rPr>
        <w:t xml:space="preserve"> constraining local expenditure</w:t>
      </w:r>
      <w:r w:rsidRPr="2F9D2978">
        <w:rPr>
          <w:rFonts w:eastAsia="MS Gothic" w:cstheme="minorBidi"/>
          <w:sz w:val="24"/>
          <w:szCs w:val="24"/>
        </w:rPr>
        <w:t xml:space="preserve"> and the need for fiscal responsibility. </w:t>
      </w:r>
      <w:r w:rsidR="4D18BDF0" w:rsidRPr="2F9D2978">
        <w:rPr>
          <w:rFonts w:eastAsia="MS Gothic" w:cstheme="minorBidi"/>
          <w:sz w:val="24"/>
          <w:szCs w:val="24"/>
        </w:rPr>
        <w:t>Feedback was also r</w:t>
      </w:r>
      <w:r w:rsidRPr="2F9D2978">
        <w:rPr>
          <w:rFonts w:eastAsia="MS Gothic" w:cstheme="minorBidi"/>
          <w:sz w:val="24"/>
          <w:szCs w:val="24"/>
        </w:rPr>
        <w:t>eceived during public consultation on the 2024-34 Long</w:t>
      </w:r>
      <w:r w:rsidR="1054609C" w:rsidRPr="2F9D2978">
        <w:rPr>
          <w:rFonts w:eastAsia="MS Gothic" w:cstheme="minorBidi"/>
          <w:sz w:val="24"/>
          <w:szCs w:val="24"/>
        </w:rPr>
        <w:t>-</w:t>
      </w:r>
      <w:r w:rsidRPr="2F9D2978">
        <w:rPr>
          <w:rFonts w:eastAsia="MS Gothic" w:cstheme="minorBidi"/>
          <w:sz w:val="24"/>
          <w:szCs w:val="24"/>
        </w:rPr>
        <w:t xml:space="preserve">term Plan Amendment, </w:t>
      </w:r>
      <w:r w:rsidR="6CDA6123" w:rsidRPr="2F9D2978">
        <w:rPr>
          <w:rFonts w:eastAsia="MS Gothic" w:cstheme="minorBidi"/>
          <w:sz w:val="24"/>
          <w:szCs w:val="24"/>
        </w:rPr>
        <w:t xml:space="preserve">asking </w:t>
      </w:r>
      <w:r w:rsidRPr="2F9D2978">
        <w:rPr>
          <w:rFonts w:eastAsia="MS Gothic" w:cstheme="minorBidi"/>
          <w:sz w:val="24"/>
          <w:szCs w:val="24"/>
        </w:rPr>
        <w:t>for the Council to focus on “core services and infrastructure” (e.g., fixing water pipes, improving safety, maintaining amenities) rather than launching new or “non-essential” projects. Examples like cycleway expansions and Golden Mile changes were cited as areas where spending could be scaled back to enable focus on the essentials.</w:t>
      </w:r>
    </w:p>
    <w:p w14:paraId="7785CC62" w14:textId="77777777" w:rsidR="00350C4A" w:rsidRDefault="00350C4A" w:rsidP="00172C03">
      <w:pPr>
        <w:pStyle w:val="Body"/>
        <w:spacing w:after="0" w:line="276" w:lineRule="auto"/>
        <w:rPr>
          <w:rFonts w:eastAsia="MS Gothic" w:cstheme="minorBidi"/>
          <w:sz w:val="24"/>
          <w:szCs w:val="24"/>
          <w:highlight w:val="yellow"/>
        </w:rPr>
      </w:pPr>
    </w:p>
    <w:p w14:paraId="60E0D1FB" w14:textId="63ADB809" w:rsidR="00350C4A" w:rsidRDefault="5D4E5FDF" w:rsidP="00172C03">
      <w:pPr>
        <w:pStyle w:val="Body"/>
        <w:spacing w:after="0" w:line="276" w:lineRule="auto"/>
        <w:rPr>
          <w:rFonts w:eastAsia="MS Gothic" w:cstheme="minorBidi"/>
          <w:sz w:val="24"/>
          <w:szCs w:val="24"/>
        </w:rPr>
      </w:pPr>
      <w:r w:rsidRPr="68952F3F">
        <w:rPr>
          <w:rFonts w:eastAsia="MS Gothic" w:cstheme="minorBidi"/>
          <w:sz w:val="24"/>
          <w:szCs w:val="24"/>
        </w:rPr>
        <w:t xml:space="preserve">The Wellington Chamber of Commerce </w:t>
      </w:r>
      <w:r w:rsidR="55179597" w:rsidRPr="68952F3F">
        <w:rPr>
          <w:rFonts w:eastAsia="MS Gothic" w:cstheme="minorBidi"/>
          <w:sz w:val="24"/>
          <w:szCs w:val="24"/>
        </w:rPr>
        <w:t xml:space="preserve">has expressed concern about </w:t>
      </w:r>
      <w:r w:rsidR="4330DF87" w:rsidRPr="68952F3F">
        <w:rPr>
          <w:rFonts w:eastAsia="MS Gothic" w:cstheme="minorBidi"/>
          <w:sz w:val="24"/>
          <w:szCs w:val="24"/>
        </w:rPr>
        <w:t xml:space="preserve">the return of investment </w:t>
      </w:r>
      <w:r w:rsidR="55179597" w:rsidRPr="68952F3F">
        <w:rPr>
          <w:rFonts w:eastAsia="MS Gothic" w:cstheme="minorBidi"/>
          <w:sz w:val="24"/>
          <w:szCs w:val="24"/>
        </w:rPr>
        <w:t>of Council’s cost structure (particularly the commercial rates differential)</w:t>
      </w:r>
      <w:r w:rsidR="7504DD26" w:rsidRPr="68952F3F">
        <w:rPr>
          <w:rFonts w:eastAsia="MS Gothic" w:cstheme="minorBidi"/>
          <w:sz w:val="24"/>
          <w:szCs w:val="24"/>
        </w:rPr>
        <w:t xml:space="preserve"> and </w:t>
      </w:r>
      <w:r w:rsidR="2F5F56A4" w:rsidRPr="68952F3F">
        <w:rPr>
          <w:rFonts w:eastAsia="MS Gothic" w:cstheme="minorBidi"/>
          <w:sz w:val="24"/>
          <w:szCs w:val="24"/>
        </w:rPr>
        <w:t xml:space="preserve">value for money evidence </w:t>
      </w:r>
      <w:r w:rsidR="5FBED64C" w:rsidRPr="68952F3F">
        <w:rPr>
          <w:rFonts w:eastAsia="MS Gothic" w:cstheme="minorBidi"/>
          <w:sz w:val="24"/>
          <w:szCs w:val="24"/>
        </w:rPr>
        <w:t xml:space="preserve">for </w:t>
      </w:r>
      <w:r w:rsidR="2F5F56A4" w:rsidRPr="68952F3F">
        <w:rPr>
          <w:rFonts w:eastAsia="MS Gothic" w:cstheme="minorBidi"/>
          <w:sz w:val="24"/>
          <w:szCs w:val="24"/>
        </w:rPr>
        <w:t xml:space="preserve">Councils interventions. </w:t>
      </w:r>
    </w:p>
    <w:p w14:paraId="555FE7A0" w14:textId="500B6140" w:rsidR="68952F3F" w:rsidRDefault="68952F3F" w:rsidP="68952F3F">
      <w:pPr>
        <w:pStyle w:val="Body"/>
        <w:spacing w:after="0" w:line="276" w:lineRule="auto"/>
        <w:rPr>
          <w:rFonts w:eastAsia="MS Gothic" w:cstheme="minorBidi"/>
          <w:sz w:val="24"/>
          <w:szCs w:val="24"/>
        </w:rPr>
      </w:pPr>
    </w:p>
    <w:p w14:paraId="3974CE24" w14:textId="1DB0057B" w:rsidR="2710C29E" w:rsidRPr="00E6041E" w:rsidRDefault="7DF2A289" w:rsidP="00172C03">
      <w:pPr>
        <w:pStyle w:val="Body"/>
        <w:spacing w:after="0" w:line="276" w:lineRule="auto"/>
        <w:rPr>
          <w:rFonts w:eastAsia="MS Gothic" w:cstheme="minorBidi"/>
          <w:sz w:val="24"/>
          <w:szCs w:val="24"/>
        </w:rPr>
      </w:pPr>
      <w:r w:rsidRPr="4E2CD2AA">
        <w:rPr>
          <w:rFonts w:eastAsia="MS Gothic" w:cstheme="minorBidi"/>
          <w:sz w:val="24"/>
          <w:szCs w:val="24"/>
        </w:rPr>
        <w:t xml:space="preserve">Specific vibrancy measures such as </w:t>
      </w:r>
      <w:r w:rsidR="1818EA82" w:rsidRPr="4E2CD2AA">
        <w:rPr>
          <w:rFonts w:eastAsia="MS Gothic" w:cstheme="minorBidi"/>
          <w:sz w:val="24"/>
          <w:szCs w:val="24"/>
        </w:rPr>
        <w:t>c</w:t>
      </w:r>
      <w:r w:rsidR="5D4E5FDF" w:rsidRPr="4E2CD2AA">
        <w:rPr>
          <w:rFonts w:eastAsia="MS Gothic" w:cstheme="minorBidi"/>
          <w:sz w:val="24"/>
          <w:szCs w:val="24"/>
        </w:rPr>
        <w:t>leanliness</w:t>
      </w:r>
      <w:r w:rsidR="2710C29E" w:rsidRPr="4E2CD2AA">
        <w:rPr>
          <w:rFonts w:eastAsia="MS Gothic" w:cstheme="minorBidi"/>
          <w:sz w:val="24"/>
          <w:szCs w:val="24"/>
        </w:rPr>
        <w:t xml:space="preserve"> issues, safety concerns, retail vacancies and </w:t>
      </w:r>
      <w:r w:rsidR="55C70A70" w:rsidRPr="4E2CD2AA">
        <w:rPr>
          <w:rFonts w:eastAsia="MS Gothic" w:cstheme="minorBidi"/>
          <w:sz w:val="24"/>
          <w:szCs w:val="24"/>
        </w:rPr>
        <w:t>reduced footfall</w:t>
      </w:r>
      <w:r w:rsidR="2710C29E" w:rsidRPr="4E2CD2AA">
        <w:rPr>
          <w:rFonts w:eastAsia="MS Gothic" w:cstheme="minorBidi"/>
          <w:sz w:val="24"/>
          <w:szCs w:val="24"/>
        </w:rPr>
        <w:t xml:space="preserve"> are seen as </w:t>
      </w:r>
      <w:r w:rsidR="29CB0225" w:rsidRPr="4E2CD2AA">
        <w:rPr>
          <w:rFonts w:eastAsia="MS Gothic" w:cstheme="minorBidi"/>
          <w:sz w:val="24"/>
          <w:szCs w:val="24"/>
        </w:rPr>
        <w:t xml:space="preserve">influencing demand and </w:t>
      </w:r>
      <w:r w:rsidR="2710C29E" w:rsidRPr="4E2CD2AA">
        <w:rPr>
          <w:rFonts w:eastAsia="MS Gothic" w:cstheme="minorBidi"/>
          <w:sz w:val="24"/>
          <w:szCs w:val="24"/>
        </w:rPr>
        <w:t>detracting from the city’s vibrancy and economic vitality.</w:t>
      </w:r>
    </w:p>
    <w:p w14:paraId="78253A93" w14:textId="77777777" w:rsidR="00350C4A" w:rsidRDefault="00350C4A" w:rsidP="00172C03">
      <w:pPr>
        <w:pStyle w:val="Body"/>
        <w:spacing w:after="0" w:line="276" w:lineRule="auto"/>
        <w:rPr>
          <w:rFonts w:eastAsia="MS Gothic" w:cstheme="minorHAnsi"/>
          <w:sz w:val="24"/>
          <w:szCs w:val="24"/>
        </w:rPr>
      </w:pPr>
    </w:p>
    <w:p w14:paraId="264EED1E" w14:textId="2271132D" w:rsidR="2710C29E" w:rsidRPr="00E6041E" w:rsidRDefault="2710C29E" w:rsidP="00172C03">
      <w:pPr>
        <w:pStyle w:val="Body"/>
        <w:spacing w:after="0" w:line="276" w:lineRule="auto"/>
        <w:rPr>
          <w:rFonts w:eastAsia="MS Gothic" w:cstheme="minorBidi"/>
          <w:sz w:val="24"/>
          <w:szCs w:val="24"/>
        </w:rPr>
      </w:pPr>
      <w:r w:rsidRPr="58518799">
        <w:rPr>
          <w:rFonts w:eastAsia="MS Gothic" w:cstheme="minorBidi"/>
          <w:sz w:val="24"/>
          <w:szCs w:val="24"/>
        </w:rPr>
        <w:t xml:space="preserve">Across the Council’s Advisory Groups, economic development was consistently framed as a matter of inclusion, equity, and strategic opportunity. </w:t>
      </w:r>
      <w:r w:rsidR="04EF0A39" w:rsidRPr="4E2CD2AA">
        <w:rPr>
          <w:rFonts w:eastAsia="MS Gothic" w:cstheme="minorBidi"/>
          <w:sz w:val="24"/>
          <w:szCs w:val="24"/>
        </w:rPr>
        <w:t>E</w:t>
      </w:r>
      <w:r w:rsidR="5D4E5FDF" w:rsidRPr="4E2CD2AA">
        <w:rPr>
          <w:rFonts w:eastAsia="MS Gothic" w:cstheme="minorBidi"/>
          <w:sz w:val="24"/>
          <w:szCs w:val="24"/>
        </w:rPr>
        <w:t>conomic</w:t>
      </w:r>
      <w:r w:rsidRPr="58518799">
        <w:rPr>
          <w:rFonts w:eastAsia="MS Gothic" w:cstheme="minorBidi"/>
          <w:sz w:val="24"/>
          <w:szCs w:val="24"/>
        </w:rPr>
        <w:t xml:space="preserve"> growth </w:t>
      </w:r>
      <w:r w:rsidR="00A4B56D" w:rsidRPr="58518799">
        <w:rPr>
          <w:rFonts w:eastAsia="MS Gothic" w:cstheme="minorBidi"/>
          <w:sz w:val="24"/>
          <w:szCs w:val="24"/>
        </w:rPr>
        <w:t>should</w:t>
      </w:r>
      <w:r w:rsidRPr="58518799">
        <w:rPr>
          <w:rFonts w:eastAsia="MS Gothic" w:cstheme="minorBidi"/>
          <w:sz w:val="24"/>
          <w:szCs w:val="24"/>
        </w:rPr>
        <w:t xml:space="preserve"> be accessible </w:t>
      </w:r>
      <w:r w:rsidR="03E1B1E8" w:rsidRPr="4E2CD2AA">
        <w:rPr>
          <w:rFonts w:eastAsia="MS Gothic" w:cstheme="minorBidi"/>
          <w:sz w:val="24"/>
          <w:szCs w:val="24"/>
        </w:rPr>
        <w:t>across</w:t>
      </w:r>
      <w:r w:rsidRPr="58518799">
        <w:rPr>
          <w:rFonts w:eastAsia="MS Gothic" w:cstheme="minorBidi"/>
          <w:sz w:val="24"/>
          <w:szCs w:val="24"/>
        </w:rPr>
        <w:t xml:space="preserve"> communities, </w:t>
      </w:r>
      <w:r w:rsidR="0C22AF0C" w:rsidRPr="4E2CD2AA">
        <w:rPr>
          <w:rFonts w:eastAsia="MS Gothic" w:cstheme="minorBidi"/>
          <w:sz w:val="24"/>
          <w:szCs w:val="24"/>
        </w:rPr>
        <w:t>including</w:t>
      </w:r>
      <w:r w:rsidRPr="58518799">
        <w:rPr>
          <w:rFonts w:eastAsia="MS Gothic" w:cstheme="minorBidi"/>
          <w:sz w:val="24"/>
          <w:szCs w:val="24"/>
        </w:rPr>
        <w:t xml:space="preserve"> disabled residents, ethnic minorities, rainbow communities, and youth. Feedback highlighted the </w:t>
      </w:r>
      <w:r w:rsidR="69DC974A" w:rsidRPr="4E2CD2AA">
        <w:rPr>
          <w:rFonts w:eastAsia="MS Gothic" w:cstheme="minorBidi"/>
          <w:sz w:val="24"/>
          <w:szCs w:val="24"/>
        </w:rPr>
        <w:t>importance</w:t>
      </w:r>
      <w:r w:rsidR="175CDF7C" w:rsidRPr="58518799">
        <w:rPr>
          <w:rFonts w:eastAsia="MS Gothic" w:cstheme="minorBidi"/>
          <w:sz w:val="24"/>
          <w:szCs w:val="24"/>
        </w:rPr>
        <w:t xml:space="preserve"> of</w:t>
      </w:r>
      <w:r w:rsidRPr="58518799">
        <w:rPr>
          <w:rFonts w:eastAsia="MS Gothic" w:cstheme="minorBidi"/>
          <w:sz w:val="24"/>
          <w:szCs w:val="24"/>
        </w:rPr>
        <w:t xml:space="preserve"> </w:t>
      </w:r>
      <w:r w:rsidR="145D5505" w:rsidRPr="4E2CD2AA">
        <w:rPr>
          <w:rFonts w:eastAsia="MS Gothic" w:cstheme="minorBidi"/>
          <w:sz w:val="24"/>
          <w:szCs w:val="24"/>
        </w:rPr>
        <w:t>removing barriers - building</w:t>
      </w:r>
      <w:r w:rsidRPr="58518799">
        <w:rPr>
          <w:rFonts w:eastAsia="MS Gothic" w:cstheme="minorBidi"/>
          <w:sz w:val="24"/>
          <w:szCs w:val="24"/>
        </w:rPr>
        <w:t xml:space="preserve"> affordability </w:t>
      </w:r>
      <w:r w:rsidR="5D4E5FDF" w:rsidRPr="4E2CD2AA">
        <w:rPr>
          <w:rFonts w:eastAsia="MS Gothic" w:cstheme="minorBidi"/>
          <w:sz w:val="24"/>
          <w:szCs w:val="24"/>
        </w:rPr>
        <w:t>in</w:t>
      </w:r>
      <w:r w:rsidR="597C807B" w:rsidRPr="4E2CD2AA">
        <w:rPr>
          <w:rFonts w:eastAsia="MS Gothic" w:cstheme="minorBidi"/>
          <w:sz w:val="24"/>
          <w:szCs w:val="24"/>
        </w:rPr>
        <w:t>to</w:t>
      </w:r>
      <w:r w:rsidRPr="58518799">
        <w:rPr>
          <w:rFonts w:eastAsia="MS Gothic" w:cstheme="minorBidi"/>
          <w:sz w:val="24"/>
          <w:szCs w:val="24"/>
        </w:rPr>
        <w:t xml:space="preserve"> service design, inclusive infrastructure, and targeted support for diverse entrepreneurs. Groups also </w:t>
      </w:r>
      <w:r w:rsidR="55420048" w:rsidRPr="4E2CD2AA">
        <w:rPr>
          <w:rFonts w:eastAsia="MS Gothic" w:cstheme="minorBidi"/>
          <w:sz w:val="24"/>
          <w:szCs w:val="24"/>
        </w:rPr>
        <w:t>noted</w:t>
      </w:r>
      <w:r w:rsidRPr="58518799">
        <w:rPr>
          <w:rFonts w:eastAsia="MS Gothic" w:cstheme="minorBidi"/>
          <w:sz w:val="24"/>
          <w:szCs w:val="24"/>
        </w:rPr>
        <w:t xml:space="preserve"> that visibility and representation are vital: a</w:t>
      </w:r>
      <w:r w:rsidR="304FC6FE" w:rsidRPr="58518799">
        <w:rPr>
          <w:rFonts w:eastAsia="MS Gothic" w:cstheme="minorBidi"/>
          <w:sz w:val="24"/>
          <w:szCs w:val="24"/>
        </w:rPr>
        <w:t>n environment</w:t>
      </w:r>
      <w:r w:rsidRPr="58518799">
        <w:rPr>
          <w:rFonts w:eastAsia="MS Gothic" w:cstheme="minorBidi"/>
          <w:sz w:val="24"/>
          <w:szCs w:val="24"/>
        </w:rPr>
        <w:t xml:space="preserve"> </w:t>
      </w:r>
      <w:r w:rsidR="1CD2A41C" w:rsidRPr="4E2CD2AA">
        <w:rPr>
          <w:rFonts w:eastAsia="MS Gothic" w:cstheme="minorBidi"/>
          <w:sz w:val="24"/>
          <w:szCs w:val="24"/>
        </w:rPr>
        <w:t>that</w:t>
      </w:r>
      <w:r w:rsidRPr="58518799">
        <w:rPr>
          <w:rFonts w:eastAsia="MS Gothic" w:cstheme="minorBidi"/>
          <w:sz w:val="24"/>
          <w:szCs w:val="24"/>
        </w:rPr>
        <w:t xml:space="preserve"> reflects </w:t>
      </w:r>
      <w:r w:rsidR="565EF23B" w:rsidRPr="58518799">
        <w:rPr>
          <w:rFonts w:eastAsia="MS Gothic" w:cstheme="minorBidi"/>
          <w:sz w:val="24"/>
          <w:szCs w:val="24"/>
        </w:rPr>
        <w:t xml:space="preserve">and supports </w:t>
      </w:r>
      <w:r w:rsidRPr="58518799">
        <w:rPr>
          <w:rFonts w:eastAsia="MS Gothic" w:cstheme="minorBidi"/>
          <w:sz w:val="24"/>
          <w:szCs w:val="24"/>
        </w:rPr>
        <w:t xml:space="preserve">its communities is better positioned to attract talent, foster innovation, and sustain long-term prosperity. Co-designed strategies and ongoing engagement were </w:t>
      </w:r>
      <w:r w:rsidR="48824B3F" w:rsidRPr="4E2CD2AA">
        <w:rPr>
          <w:rFonts w:eastAsia="MS Gothic" w:cstheme="minorBidi"/>
          <w:sz w:val="24"/>
          <w:szCs w:val="24"/>
        </w:rPr>
        <w:t>identified as</w:t>
      </w:r>
      <w:r w:rsidR="212E0D60" w:rsidRPr="58518799">
        <w:rPr>
          <w:rFonts w:eastAsia="MS Gothic" w:cstheme="minorBidi"/>
          <w:sz w:val="24"/>
          <w:szCs w:val="24"/>
        </w:rPr>
        <w:t xml:space="preserve"> important mechanisms</w:t>
      </w:r>
      <w:r w:rsidRPr="58518799">
        <w:rPr>
          <w:rFonts w:eastAsia="MS Gothic" w:cstheme="minorBidi"/>
          <w:sz w:val="24"/>
          <w:szCs w:val="24"/>
        </w:rPr>
        <w:t xml:space="preserve"> to ensure economic initiatives are shaped by lived experience and community insight.</w:t>
      </w:r>
    </w:p>
    <w:p w14:paraId="414D3D1F" w14:textId="77777777" w:rsidR="00350C4A" w:rsidRDefault="00350C4A" w:rsidP="00172C03">
      <w:pPr>
        <w:pStyle w:val="Body"/>
        <w:spacing w:after="0" w:line="276" w:lineRule="auto"/>
        <w:rPr>
          <w:rFonts w:eastAsia="MS Gothic" w:cstheme="minorHAnsi"/>
          <w:sz w:val="24"/>
          <w:szCs w:val="24"/>
        </w:rPr>
      </w:pPr>
    </w:p>
    <w:p w14:paraId="3BF40F32" w14:textId="1082427C" w:rsidR="2710C29E" w:rsidRPr="00E6041E" w:rsidRDefault="1CAC3E11" w:rsidP="00172C03">
      <w:pPr>
        <w:pStyle w:val="Body"/>
        <w:spacing w:after="0" w:line="276" w:lineRule="auto"/>
        <w:rPr>
          <w:rFonts w:eastAsia="MS Gothic" w:cstheme="minorHAnsi"/>
          <w:sz w:val="24"/>
          <w:szCs w:val="24"/>
        </w:rPr>
      </w:pPr>
      <w:r w:rsidRPr="00E6041E">
        <w:rPr>
          <w:rFonts w:eastAsia="MS Gothic" w:cstheme="minorHAnsi"/>
          <w:sz w:val="24"/>
          <w:szCs w:val="24"/>
        </w:rPr>
        <w:t xml:space="preserve">The Ethnic Communities Advisory Group (ECAG) has highlighted how diversification of the city’s economy and lifestyle attracts people and investment. ECAG members noted that Wellington offers career opportunities in tech, healthcare, film, and education, along with a lifestyle that values balance and wellbeing, making migrants feel proud to call the city home. This sentiment reflects a view that cultivating a welcoming environment for diverse communities directly supports economic growth. </w:t>
      </w:r>
    </w:p>
    <w:p w14:paraId="58135DB2" w14:textId="77777777" w:rsidR="00350C4A" w:rsidRDefault="00350C4A" w:rsidP="00172C03">
      <w:pPr>
        <w:pStyle w:val="Body"/>
        <w:spacing w:after="0" w:line="276" w:lineRule="auto"/>
        <w:rPr>
          <w:rFonts w:eastAsia="MS Gothic" w:cstheme="minorHAnsi"/>
          <w:sz w:val="24"/>
          <w:szCs w:val="24"/>
        </w:rPr>
      </w:pPr>
    </w:p>
    <w:p w14:paraId="761737D0" w14:textId="06FF6279" w:rsidR="2710C29E" w:rsidRPr="00E6041E" w:rsidRDefault="1CAC3E11" w:rsidP="00172C03">
      <w:pPr>
        <w:pStyle w:val="Body"/>
        <w:spacing w:after="0" w:line="276" w:lineRule="auto"/>
        <w:rPr>
          <w:rFonts w:eastAsia="MS Gothic" w:cstheme="minorBidi"/>
          <w:sz w:val="24"/>
          <w:szCs w:val="24"/>
        </w:rPr>
      </w:pPr>
      <w:r w:rsidRPr="58518799">
        <w:rPr>
          <w:rFonts w:eastAsia="MS Gothic" w:cstheme="minorBidi"/>
          <w:sz w:val="24"/>
          <w:szCs w:val="24"/>
        </w:rPr>
        <w:t xml:space="preserve">The Youth Council has drawn attention to current economic challenges and the need for prudent planning. In its 2024 Long-Term Plan submission, the Youth Council </w:t>
      </w:r>
      <w:r w:rsidR="7B5B84C8" w:rsidRPr="58518799">
        <w:rPr>
          <w:rFonts w:eastAsia="MS Gothic" w:cstheme="minorBidi"/>
          <w:sz w:val="24"/>
          <w:szCs w:val="24"/>
        </w:rPr>
        <w:t xml:space="preserve">urged the </w:t>
      </w:r>
      <w:r w:rsidRPr="58518799">
        <w:rPr>
          <w:rFonts w:eastAsia="MS Gothic" w:cstheme="minorBidi"/>
          <w:sz w:val="24"/>
          <w:szCs w:val="24"/>
        </w:rPr>
        <w:t>Council to invest in infrastructure responsibly to support future prosperity without overburdening coming generations. Youth representatives see forward-thinking economic policies as vital to their wellbeing and future job opportunities.</w:t>
      </w:r>
    </w:p>
    <w:p w14:paraId="2B204657" w14:textId="77777777" w:rsidR="00350C4A" w:rsidRDefault="00350C4A" w:rsidP="00172C03">
      <w:pPr>
        <w:pStyle w:val="Body"/>
        <w:spacing w:after="0" w:line="276" w:lineRule="auto"/>
        <w:rPr>
          <w:rFonts w:eastAsia="MS Gothic" w:cstheme="minorHAnsi"/>
          <w:sz w:val="24"/>
          <w:szCs w:val="24"/>
        </w:rPr>
      </w:pPr>
    </w:p>
    <w:p w14:paraId="426CE50E" w14:textId="31993A8F" w:rsidR="2710C29E" w:rsidRPr="00E6041E" w:rsidRDefault="1CAC3E11" w:rsidP="00172C03">
      <w:pPr>
        <w:pStyle w:val="Body"/>
        <w:spacing w:after="0" w:line="276" w:lineRule="auto"/>
        <w:rPr>
          <w:rFonts w:eastAsia="MS Gothic" w:cstheme="minorBidi"/>
          <w:sz w:val="24"/>
          <w:szCs w:val="24"/>
        </w:rPr>
      </w:pPr>
      <w:r w:rsidRPr="58518799">
        <w:rPr>
          <w:rFonts w:eastAsia="MS Gothic" w:cstheme="minorBidi"/>
          <w:sz w:val="24"/>
          <w:szCs w:val="24"/>
        </w:rPr>
        <w:t xml:space="preserve">Inclusivity is seen as integral to economic vitality. The Rainbow Communities Advisory Group (TRAC) </w:t>
      </w:r>
      <w:r w:rsidR="6A88B250" w:rsidRPr="68952F3F">
        <w:rPr>
          <w:rFonts w:eastAsia="MS Gothic" w:cstheme="minorBidi"/>
          <w:sz w:val="24"/>
          <w:szCs w:val="24"/>
        </w:rPr>
        <w:t>have</w:t>
      </w:r>
      <w:r w:rsidR="030BE809" w:rsidRPr="58518799">
        <w:rPr>
          <w:rFonts w:eastAsia="MS Gothic" w:cstheme="minorBidi"/>
          <w:sz w:val="24"/>
          <w:szCs w:val="24"/>
        </w:rPr>
        <w:t xml:space="preserve"> stated</w:t>
      </w:r>
      <w:r w:rsidRPr="58518799">
        <w:rPr>
          <w:rFonts w:eastAsia="MS Gothic" w:cstheme="minorBidi"/>
          <w:sz w:val="24"/>
          <w:szCs w:val="24"/>
        </w:rPr>
        <w:t xml:space="preserve"> that making Wellington a ‘genuinely queer-friendly city’ is not just a social goal but “a great economic thing – [being] queer friendly should attract people. [It makes Wellington] a great place to live for queer people”. </w:t>
      </w:r>
    </w:p>
    <w:p w14:paraId="33146CEB" w14:textId="77777777" w:rsidR="00350C4A" w:rsidRDefault="00350C4A" w:rsidP="00172C03">
      <w:pPr>
        <w:pStyle w:val="Body"/>
        <w:spacing w:after="0" w:line="276" w:lineRule="auto"/>
        <w:rPr>
          <w:rFonts w:eastAsia="MS Gothic" w:cstheme="minorHAnsi"/>
          <w:sz w:val="24"/>
          <w:szCs w:val="24"/>
        </w:rPr>
      </w:pPr>
    </w:p>
    <w:p w14:paraId="3D062B94" w14:textId="536E97A8" w:rsidR="2710C29E" w:rsidRPr="00E6041E" w:rsidRDefault="1CAC3E11" w:rsidP="00172C03">
      <w:pPr>
        <w:pStyle w:val="Body"/>
        <w:spacing w:after="0" w:line="276" w:lineRule="auto"/>
        <w:rPr>
          <w:rFonts w:eastAsia="MS Gothic" w:cstheme="minorBidi"/>
          <w:sz w:val="24"/>
          <w:szCs w:val="24"/>
        </w:rPr>
      </w:pPr>
      <w:r w:rsidRPr="58518799">
        <w:rPr>
          <w:rFonts w:eastAsia="MS Gothic" w:cstheme="minorBidi"/>
          <w:sz w:val="24"/>
          <w:szCs w:val="24"/>
        </w:rPr>
        <w:t xml:space="preserve">Several advisory groups also linked economic wellbeing with reducing barriers for disadvantaged groups. The Accessibility Advisory Group (AAG) </w:t>
      </w:r>
      <w:r w:rsidR="3D9F8752" w:rsidRPr="4E2CD2AA">
        <w:rPr>
          <w:rFonts w:eastAsia="MS Gothic" w:cstheme="minorBidi"/>
          <w:sz w:val="24"/>
          <w:szCs w:val="24"/>
        </w:rPr>
        <w:t>noted</w:t>
      </w:r>
      <w:r w:rsidRPr="58518799">
        <w:rPr>
          <w:rFonts w:eastAsia="MS Gothic" w:cstheme="minorBidi"/>
          <w:sz w:val="24"/>
          <w:szCs w:val="24"/>
        </w:rPr>
        <w:t xml:space="preserve"> that financial hardship can be an accessibility issue, </w:t>
      </w:r>
      <w:r w:rsidR="0A123715" w:rsidRPr="4E2CD2AA">
        <w:rPr>
          <w:rFonts w:eastAsia="MS Gothic" w:cstheme="minorBidi"/>
          <w:sz w:val="24"/>
          <w:szCs w:val="24"/>
        </w:rPr>
        <w:t>and</w:t>
      </w:r>
      <w:r w:rsidRPr="58518799">
        <w:rPr>
          <w:rFonts w:eastAsia="MS Gothic" w:cstheme="minorBidi"/>
          <w:sz w:val="24"/>
          <w:szCs w:val="24"/>
        </w:rPr>
        <w:t xml:space="preserve"> that economic inclusivity is a component of accessibility (e.g. the cost of services should not exclude low-income residents). This reflects a common thread in feedback: Wellington’s economic development strategies should </w:t>
      </w:r>
      <w:r w:rsidR="5FE88324" w:rsidRPr="4E2CD2AA">
        <w:rPr>
          <w:rFonts w:eastAsia="MS Gothic" w:cstheme="minorBidi"/>
          <w:sz w:val="24"/>
          <w:szCs w:val="24"/>
        </w:rPr>
        <w:t xml:space="preserve">remove barriers </w:t>
      </w:r>
      <w:r w:rsidR="05246D66" w:rsidRPr="4E2CD2AA">
        <w:rPr>
          <w:rFonts w:eastAsia="MS Gothic" w:cstheme="minorBidi"/>
          <w:sz w:val="24"/>
          <w:szCs w:val="24"/>
        </w:rPr>
        <w:t>to participation</w:t>
      </w:r>
      <w:r w:rsidR="4D230D09" w:rsidRPr="4E2CD2AA">
        <w:rPr>
          <w:rFonts w:eastAsia="MS Gothic" w:cstheme="minorBidi"/>
          <w:sz w:val="24"/>
          <w:szCs w:val="24"/>
        </w:rPr>
        <w:t xml:space="preserve"> and benefit</w:t>
      </w:r>
      <w:r w:rsidR="40F69EE5" w:rsidRPr="4E2CD2AA">
        <w:rPr>
          <w:rFonts w:eastAsia="MS Gothic" w:cstheme="minorBidi"/>
          <w:sz w:val="24"/>
          <w:szCs w:val="24"/>
        </w:rPr>
        <w:t xml:space="preserve"> all communities</w:t>
      </w:r>
      <w:r w:rsidR="4D230D09" w:rsidRPr="4E2CD2AA">
        <w:rPr>
          <w:rFonts w:eastAsia="MS Gothic" w:cstheme="minorBidi"/>
          <w:sz w:val="24"/>
          <w:szCs w:val="24"/>
        </w:rPr>
        <w:t>.</w:t>
      </w:r>
    </w:p>
    <w:p w14:paraId="5E9CBBE5" w14:textId="77777777" w:rsidR="00350C4A" w:rsidRDefault="00350C4A" w:rsidP="00172C03">
      <w:pPr>
        <w:pStyle w:val="Body"/>
        <w:spacing w:after="0" w:line="276" w:lineRule="auto"/>
        <w:rPr>
          <w:rFonts w:eastAsia="MS Gothic" w:cstheme="minorHAnsi"/>
          <w:sz w:val="24"/>
          <w:szCs w:val="24"/>
        </w:rPr>
      </w:pPr>
    </w:p>
    <w:p w14:paraId="44021244" w14:textId="15FDD07D" w:rsidR="2710C29E" w:rsidRPr="00E6041E" w:rsidRDefault="2710C29E" w:rsidP="00172C03">
      <w:pPr>
        <w:pStyle w:val="Body"/>
        <w:spacing w:after="0" w:line="276" w:lineRule="auto"/>
        <w:rPr>
          <w:rFonts w:eastAsia="MS Gothic" w:cstheme="minorBidi"/>
          <w:sz w:val="24"/>
          <w:szCs w:val="24"/>
        </w:rPr>
      </w:pPr>
      <w:r w:rsidRPr="58518799">
        <w:rPr>
          <w:rFonts w:eastAsia="MS Gothic" w:cstheme="minorBidi"/>
          <w:sz w:val="24"/>
          <w:szCs w:val="24"/>
        </w:rPr>
        <w:t xml:space="preserve">Accessibility was also identified as a key factor in enabling full economic participation within the </w:t>
      </w:r>
      <w:r w:rsidR="5BFF4EBF" w:rsidRPr="58518799">
        <w:rPr>
          <w:rFonts w:eastAsia="MS Gothic" w:cstheme="minorBidi"/>
          <w:sz w:val="24"/>
          <w:szCs w:val="24"/>
        </w:rPr>
        <w:t>arts and culture</w:t>
      </w:r>
      <w:r w:rsidRPr="58518799">
        <w:rPr>
          <w:rFonts w:eastAsia="MS Gothic" w:cstheme="minorBidi"/>
          <w:sz w:val="24"/>
          <w:szCs w:val="24"/>
        </w:rPr>
        <w:t xml:space="preserve"> sector, in the feedback received from advisory groups on the Aho Tini 3-year report back in March 2025. Inclusive design across venues, events, and communications </w:t>
      </w:r>
      <w:r w:rsidR="18B4E639" w:rsidRPr="58518799">
        <w:rPr>
          <w:rFonts w:eastAsia="MS Gothic" w:cstheme="minorBidi"/>
          <w:sz w:val="24"/>
          <w:szCs w:val="24"/>
        </w:rPr>
        <w:t xml:space="preserve">both </w:t>
      </w:r>
      <w:r w:rsidRPr="58518799">
        <w:rPr>
          <w:rFonts w:eastAsia="MS Gothic" w:cstheme="minorBidi"/>
          <w:sz w:val="24"/>
          <w:szCs w:val="24"/>
        </w:rPr>
        <w:t xml:space="preserve">expands audience reach and supports employment opportunities for disabled artists and neurodiverse creatives. Actions such as relaxed concert sessions and digital preparation tools reduce barriers and increase engagement. The need to embed accessibility into infrastructure and funding decisions, </w:t>
      </w:r>
      <w:r w:rsidR="40ACFEE8" w:rsidRPr="68952F3F">
        <w:rPr>
          <w:rFonts w:eastAsia="MS Gothic" w:cstheme="minorBidi"/>
          <w:sz w:val="24"/>
          <w:szCs w:val="24"/>
        </w:rPr>
        <w:t>has</w:t>
      </w:r>
      <w:r w:rsidRPr="58518799">
        <w:rPr>
          <w:rFonts w:eastAsia="MS Gothic" w:cstheme="minorBidi"/>
          <w:sz w:val="24"/>
          <w:szCs w:val="24"/>
        </w:rPr>
        <w:t xml:space="preserve"> also </w:t>
      </w:r>
      <w:r w:rsidR="096C63E8" w:rsidRPr="58518799">
        <w:rPr>
          <w:rFonts w:eastAsia="MS Gothic" w:cstheme="minorBidi"/>
          <w:sz w:val="24"/>
          <w:szCs w:val="24"/>
        </w:rPr>
        <w:t>been</w:t>
      </w:r>
      <w:r w:rsidRPr="58518799">
        <w:rPr>
          <w:rFonts w:eastAsia="MS Gothic" w:cstheme="minorBidi"/>
          <w:sz w:val="24"/>
          <w:szCs w:val="24"/>
        </w:rPr>
        <w:t xml:space="preserve"> raised, noting that accessible cultural experiences contribute to a broader, more equitable economy.</w:t>
      </w:r>
    </w:p>
    <w:p w14:paraId="012BE583" w14:textId="77777777" w:rsidR="00350C4A" w:rsidRDefault="00350C4A" w:rsidP="00172C03">
      <w:pPr>
        <w:pStyle w:val="Body"/>
        <w:spacing w:after="0" w:line="276" w:lineRule="auto"/>
        <w:rPr>
          <w:rFonts w:eastAsia="MS Gothic" w:cstheme="minorHAnsi"/>
          <w:sz w:val="24"/>
          <w:szCs w:val="24"/>
        </w:rPr>
      </w:pPr>
    </w:p>
    <w:p w14:paraId="124D1925" w14:textId="33C55142" w:rsidR="00214A4A" w:rsidRDefault="002869EC" w:rsidP="00172C03">
      <w:pPr>
        <w:pStyle w:val="Body"/>
        <w:spacing w:after="0" w:line="276" w:lineRule="auto"/>
        <w:rPr>
          <w:rFonts w:eastAsia="MS Gothic" w:cstheme="minorHAnsi"/>
          <w:sz w:val="24"/>
          <w:szCs w:val="24"/>
        </w:rPr>
      </w:pPr>
      <w:r w:rsidRPr="00E6041E">
        <w:rPr>
          <w:rFonts w:eastAsia="MS Gothic" w:cstheme="minorHAnsi"/>
          <w:sz w:val="24"/>
          <w:szCs w:val="24"/>
        </w:rPr>
        <w:t>I</w:t>
      </w:r>
      <w:r w:rsidR="2710C29E" w:rsidRPr="00E6041E">
        <w:rPr>
          <w:rFonts w:eastAsia="MS Gothic" w:cstheme="minorHAnsi"/>
          <w:sz w:val="24"/>
          <w:szCs w:val="24"/>
        </w:rPr>
        <w:t>nclusive arts and cultural programming is also viewed as a strategic economic opportunity. By investing in diverse creative communities (Māori, Pasifika, ethnic minorities, LGBTQ+ groups, and youth) new pathways for entrepreneurship, job creation, and audience development can be created. Initiatives such as targeted residencies, internships, and youth-led platforms are seen as mechanisms to grow the city’s creative workforce and stimulate innovation. Inclusion in the arts was framed as a driver of economic vitality, helping Wellington attract talent, foster creative industries, and build a resilient, representative economy.</w:t>
      </w:r>
    </w:p>
    <w:p w14:paraId="33CB14B7" w14:textId="77777777" w:rsidR="00214A4A" w:rsidRDefault="00214A4A">
      <w:pPr>
        <w:rPr>
          <w:rFonts w:eastAsia="MS Gothic" w:cstheme="minorHAnsi"/>
          <w:sz w:val="24"/>
          <w:szCs w:val="24"/>
        </w:rPr>
      </w:pPr>
      <w:r>
        <w:rPr>
          <w:rFonts w:eastAsia="MS Gothic" w:cstheme="minorHAnsi"/>
          <w:sz w:val="24"/>
          <w:szCs w:val="24"/>
        </w:rPr>
        <w:br w:type="page"/>
      </w:r>
    </w:p>
    <w:p w14:paraId="01339AC6" w14:textId="77777777" w:rsidR="2710C29E" w:rsidRPr="00E6041E" w:rsidRDefault="2710C29E" w:rsidP="00172C03">
      <w:pPr>
        <w:pStyle w:val="Body"/>
        <w:spacing w:after="0" w:line="276" w:lineRule="auto"/>
        <w:rPr>
          <w:rFonts w:eastAsia="MS Gothic" w:cstheme="minorHAnsi"/>
          <w:sz w:val="24"/>
          <w:szCs w:val="24"/>
        </w:rPr>
      </w:pPr>
    </w:p>
    <w:p w14:paraId="206E9797" w14:textId="754B43B2" w:rsidR="00B95E23" w:rsidRPr="00350C4A" w:rsidRDefault="00B95E23" w:rsidP="3C7EFEEB">
      <w:pPr>
        <w:pStyle w:val="Heading2"/>
        <w:rPr>
          <w:rFonts w:asciiTheme="minorHAnsi" w:hAnsiTheme="minorHAnsi" w:cstheme="minorBidi"/>
          <w:sz w:val="32"/>
          <w:szCs w:val="32"/>
        </w:rPr>
      </w:pPr>
      <w:bookmarkStart w:id="22" w:name="_Toc223964614"/>
      <w:r w:rsidRPr="3C7EFEEB">
        <w:rPr>
          <w:rFonts w:asciiTheme="minorHAnsi" w:hAnsiTheme="minorHAnsi" w:cstheme="minorBidi"/>
          <w:sz w:val="32"/>
          <w:szCs w:val="32"/>
        </w:rPr>
        <w:t xml:space="preserve">Tākai Here </w:t>
      </w:r>
      <w:r w:rsidR="4BFB461D" w:rsidRPr="3C7EFEEB">
        <w:rPr>
          <w:rFonts w:asciiTheme="minorHAnsi" w:hAnsiTheme="minorHAnsi" w:cstheme="minorBidi"/>
          <w:sz w:val="32"/>
          <w:szCs w:val="32"/>
        </w:rPr>
        <w:t>p</w:t>
      </w:r>
      <w:r w:rsidRPr="3C7EFEEB">
        <w:rPr>
          <w:rFonts w:asciiTheme="minorHAnsi" w:hAnsiTheme="minorHAnsi" w:cstheme="minorBidi"/>
          <w:sz w:val="32"/>
          <w:szCs w:val="32"/>
        </w:rPr>
        <w:t>artnership</w:t>
      </w:r>
      <w:bookmarkEnd w:id="22"/>
    </w:p>
    <w:p w14:paraId="6FC2EEED" w14:textId="6B2DE3D7" w:rsidR="00D57983" w:rsidRPr="00E6041E" w:rsidRDefault="00D57983" w:rsidP="00350C4A">
      <w:pPr>
        <w:pStyle w:val="Body"/>
        <w:spacing w:after="0" w:line="276" w:lineRule="auto"/>
        <w:rPr>
          <w:rFonts w:eastAsia="MS Gothic" w:cstheme="minorHAnsi"/>
          <w:sz w:val="24"/>
          <w:szCs w:val="24"/>
        </w:rPr>
      </w:pPr>
      <w:r w:rsidRPr="00E6041E">
        <w:rPr>
          <w:rFonts w:cstheme="minorHAnsi"/>
          <w:sz w:val="24"/>
          <w:szCs w:val="24"/>
        </w:rPr>
        <w:t>Tākai Here</w:t>
      </w:r>
      <w:r w:rsidR="00333560" w:rsidRPr="00E6041E">
        <w:rPr>
          <w:rFonts w:cstheme="minorHAnsi"/>
          <w:sz w:val="24"/>
          <w:szCs w:val="24"/>
        </w:rPr>
        <w:t xml:space="preserve"> </w:t>
      </w:r>
      <w:r w:rsidRPr="00E6041E">
        <w:rPr>
          <w:rFonts w:eastAsia="MS Gothic" w:cstheme="minorHAnsi"/>
          <w:sz w:val="24"/>
          <w:szCs w:val="24"/>
        </w:rPr>
        <w:t xml:space="preserve">places a strong emphasis on advancing Māori enterprise as a cornerstone of Wellington’s economic development. </w:t>
      </w:r>
      <w:r w:rsidR="00915340">
        <w:rPr>
          <w:rFonts w:eastAsia="MS Gothic" w:cstheme="minorHAnsi"/>
          <w:sz w:val="24"/>
          <w:szCs w:val="24"/>
        </w:rPr>
        <w:t>G</w:t>
      </w:r>
      <w:r w:rsidR="002806DA" w:rsidRPr="00E6041E">
        <w:rPr>
          <w:rFonts w:eastAsia="MS Gothic" w:cstheme="minorHAnsi"/>
          <w:sz w:val="24"/>
          <w:szCs w:val="24"/>
        </w:rPr>
        <w:t>rowth of Māori businesses, entrepreneurship, and innovation</w:t>
      </w:r>
      <w:r w:rsidR="00915340">
        <w:rPr>
          <w:rFonts w:eastAsia="MS Gothic" w:cstheme="minorHAnsi"/>
          <w:sz w:val="24"/>
          <w:szCs w:val="24"/>
        </w:rPr>
        <w:t xml:space="preserve"> is a priority</w:t>
      </w:r>
      <w:r w:rsidR="00506AD4" w:rsidRPr="00E6041E">
        <w:rPr>
          <w:rFonts w:eastAsia="MS Gothic" w:cstheme="minorHAnsi"/>
          <w:sz w:val="24"/>
          <w:szCs w:val="24"/>
        </w:rPr>
        <w:t>.</w:t>
      </w:r>
      <w:r w:rsidR="57DE5AD5" w:rsidRPr="00E6041E">
        <w:rPr>
          <w:rFonts w:eastAsia="MS Gothic" w:cstheme="minorHAnsi"/>
          <w:sz w:val="24"/>
          <w:szCs w:val="24"/>
        </w:rPr>
        <w:t xml:space="preserve"> </w:t>
      </w:r>
      <w:r w:rsidRPr="00E6041E">
        <w:rPr>
          <w:rFonts w:eastAsia="MS Gothic" w:cstheme="minorHAnsi"/>
          <w:sz w:val="24"/>
          <w:szCs w:val="24"/>
        </w:rPr>
        <w:t>The</w:t>
      </w:r>
      <w:r w:rsidR="000B15E0">
        <w:rPr>
          <w:rFonts w:eastAsia="MS Gothic" w:cstheme="minorHAnsi"/>
          <w:sz w:val="24"/>
          <w:szCs w:val="24"/>
        </w:rPr>
        <w:t xml:space="preserve"> collective</w:t>
      </w:r>
      <w:r w:rsidRPr="00E6041E">
        <w:rPr>
          <w:rFonts w:eastAsia="MS Gothic" w:cstheme="minorHAnsi"/>
          <w:sz w:val="24"/>
          <w:szCs w:val="24"/>
        </w:rPr>
        <w:t xml:space="preserve"> vision is for a city where Māori economic aspirations are embedded in decision-making, and where Māori-led enterprises are empowered to thrive, creating opportunities for whānau, hapū, and iwi.</w:t>
      </w:r>
      <w:r w:rsidR="00290A33" w:rsidRPr="00E6041E">
        <w:rPr>
          <w:rFonts w:eastAsia="MS Gothic" w:cstheme="minorHAnsi"/>
          <w:sz w:val="24"/>
          <w:szCs w:val="24"/>
        </w:rPr>
        <w:t xml:space="preserve"> </w:t>
      </w:r>
      <w:r w:rsidR="00863E7E">
        <w:rPr>
          <w:rFonts w:eastAsia="MS Gothic" w:cstheme="minorHAnsi"/>
          <w:sz w:val="24"/>
          <w:szCs w:val="24"/>
        </w:rPr>
        <w:t>E</w:t>
      </w:r>
      <w:r w:rsidR="00105C01">
        <w:rPr>
          <w:rFonts w:eastAsia="MS Gothic" w:cstheme="minorHAnsi"/>
          <w:sz w:val="24"/>
          <w:szCs w:val="24"/>
        </w:rPr>
        <w:t>nabling</w:t>
      </w:r>
      <w:r w:rsidRPr="00E6041E">
        <w:rPr>
          <w:rFonts w:eastAsia="MS Gothic" w:cstheme="minorHAnsi"/>
          <w:sz w:val="24"/>
          <w:szCs w:val="24"/>
        </w:rPr>
        <w:t xml:space="preserve"> equitable access to resources, targeted investment in Māori business capability, and participation in the local economy</w:t>
      </w:r>
      <w:r w:rsidR="00AF7A11" w:rsidRPr="00E6041E">
        <w:rPr>
          <w:rFonts w:eastAsia="MS Gothic" w:cstheme="minorHAnsi"/>
          <w:sz w:val="24"/>
          <w:szCs w:val="24"/>
        </w:rPr>
        <w:t xml:space="preserve"> are emphasised</w:t>
      </w:r>
      <w:r w:rsidRPr="00E6041E">
        <w:rPr>
          <w:rFonts w:eastAsia="MS Gothic" w:cstheme="minorHAnsi"/>
          <w:sz w:val="24"/>
          <w:szCs w:val="24"/>
        </w:rPr>
        <w:t>. T</w:t>
      </w:r>
      <w:r w:rsidR="001675EE">
        <w:rPr>
          <w:rFonts w:eastAsia="MS Gothic" w:cstheme="minorHAnsi"/>
          <w:sz w:val="24"/>
          <w:szCs w:val="24"/>
        </w:rPr>
        <w:t>ākai Here partners</w:t>
      </w:r>
      <w:r w:rsidRPr="00E6041E">
        <w:rPr>
          <w:rFonts w:eastAsia="MS Gothic" w:cstheme="minorHAnsi"/>
          <w:sz w:val="24"/>
          <w:szCs w:val="24"/>
        </w:rPr>
        <w:t xml:space="preserve"> </w:t>
      </w:r>
      <w:r w:rsidR="002B6C5F">
        <w:rPr>
          <w:rFonts w:eastAsia="MS Gothic" w:cstheme="minorHAnsi"/>
          <w:sz w:val="24"/>
          <w:szCs w:val="24"/>
        </w:rPr>
        <w:t>encourage</w:t>
      </w:r>
      <w:r w:rsidRPr="00E6041E">
        <w:rPr>
          <w:rFonts w:eastAsia="MS Gothic" w:cstheme="minorHAnsi"/>
          <w:sz w:val="24"/>
          <w:szCs w:val="24"/>
        </w:rPr>
        <w:t xml:space="preserve"> the Council to prioriti</w:t>
      </w:r>
      <w:r w:rsidR="003F5FE1" w:rsidRPr="00E6041E">
        <w:rPr>
          <w:rFonts w:eastAsia="MS Gothic" w:cstheme="minorHAnsi"/>
          <w:sz w:val="24"/>
          <w:szCs w:val="24"/>
        </w:rPr>
        <w:t>s</w:t>
      </w:r>
      <w:r w:rsidRPr="00E6041E">
        <w:rPr>
          <w:rFonts w:eastAsia="MS Gothic" w:cstheme="minorHAnsi"/>
          <w:sz w:val="24"/>
          <w:szCs w:val="24"/>
        </w:rPr>
        <w:t xml:space="preserve">e procurement from Māori businesses, foster Māori leadership in economic governance, and co-design initiatives that build Māori economic resilience and intergenerational wealth. </w:t>
      </w:r>
    </w:p>
    <w:p w14:paraId="3555C391" w14:textId="77777777" w:rsidR="00350C4A" w:rsidRDefault="00350C4A" w:rsidP="00350C4A">
      <w:pPr>
        <w:pStyle w:val="Body"/>
        <w:spacing w:after="0" w:line="276" w:lineRule="auto"/>
        <w:rPr>
          <w:rFonts w:cstheme="minorHAnsi"/>
          <w:sz w:val="24"/>
          <w:szCs w:val="24"/>
        </w:rPr>
      </w:pPr>
    </w:p>
    <w:p w14:paraId="2454FFB2" w14:textId="175CE7D4" w:rsidR="00D57983" w:rsidRPr="00E6041E" w:rsidRDefault="00D57983" w:rsidP="00350C4A">
      <w:pPr>
        <w:pStyle w:val="Body"/>
        <w:spacing w:after="0" w:line="276" w:lineRule="auto"/>
        <w:rPr>
          <w:rFonts w:eastAsia="MS Gothic" w:cstheme="minorHAnsi"/>
          <w:b/>
          <w:bCs/>
          <w:sz w:val="24"/>
          <w:szCs w:val="24"/>
        </w:rPr>
      </w:pPr>
      <w:r w:rsidRPr="00E6041E">
        <w:rPr>
          <w:rFonts w:cstheme="minorHAnsi"/>
          <w:sz w:val="24"/>
          <w:szCs w:val="24"/>
        </w:rPr>
        <w:t xml:space="preserve">By championing Māori enterprise, Tākai Here partners see economic development as a pathway to greater self-determination, community wellbeing, and a more diverse, resilient city economy. </w:t>
      </w:r>
      <w:r w:rsidR="00CA1C66">
        <w:rPr>
          <w:rFonts w:cstheme="minorHAnsi"/>
          <w:sz w:val="24"/>
          <w:szCs w:val="24"/>
        </w:rPr>
        <w:t>Moving</w:t>
      </w:r>
      <w:r w:rsidRPr="00E6041E">
        <w:rPr>
          <w:rFonts w:cstheme="minorHAnsi"/>
          <w:sz w:val="24"/>
          <w:szCs w:val="24"/>
        </w:rPr>
        <w:t xml:space="preserve"> beyond consultation to genuine partnership, where Māori are co-creators of economic opportunity and growth, and where the success of Māori enterprise is recogni</w:t>
      </w:r>
      <w:r w:rsidR="002A7CDE" w:rsidRPr="00E6041E">
        <w:rPr>
          <w:rFonts w:cstheme="minorHAnsi"/>
          <w:sz w:val="24"/>
          <w:szCs w:val="24"/>
        </w:rPr>
        <w:t>s</w:t>
      </w:r>
      <w:r w:rsidRPr="00E6041E">
        <w:rPr>
          <w:rFonts w:cstheme="minorHAnsi"/>
          <w:sz w:val="24"/>
          <w:szCs w:val="24"/>
        </w:rPr>
        <w:t>ed as integral to Wellington’s prosperity.</w:t>
      </w:r>
    </w:p>
    <w:p w14:paraId="6123784A" w14:textId="77777777" w:rsidR="00156144" w:rsidRDefault="00156144">
      <w:pPr>
        <w:rPr>
          <w:rFonts w:eastAsia="MS Gothic" w:cstheme="minorHAnsi"/>
          <w:b/>
          <w:bCs/>
          <w:kern w:val="32"/>
          <w:sz w:val="40"/>
          <w:szCs w:val="40"/>
        </w:rPr>
      </w:pPr>
      <w:r>
        <w:rPr>
          <w:rFonts w:cstheme="minorHAnsi"/>
          <w:sz w:val="40"/>
          <w:szCs w:val="40"/>
        </w:rPr>
        <w:br w:type="page"/>
      </w:r>
    </w:p>
    <w:p w14:paraId="0D69C100" w14:textId="3CECBD35" w:rsidR="0B0D9D5D" w:rsidRPr="00350C4A" w:rsidRDefault="0B0D9D5D" w:rsidP="3C7EFEEB">
      <w:pPr>
        <w:pStyle w:val="Heading1"/>
        <w:rPr>
          <w:rFonts w:asciiTheme="minorHAnsi" w:hAnsiTheme="minorHAnsi" w:cstheme="minorBidi"/>
          <w:sz w:val="40"/>
          <w:szCs w:val="40"/>
        </w:rPr>
      </w:pPr>
      <w:bookmarkStart w:id="23" w:name="_Toc223964615"/>
      <w:r w:rsidRPr="3C7EFEEB">
        <w:rPr>
          <w:rFonts w:asciiTheme="minorHAnsi" w:hAnsiTheme="minorHAnsi" w:cstheme="minorBidi"/>
          <w:sz w:val="40"/>
          <w:szCs w:val="40"/>
        </w:rPr>
        <w:t>Key issues</w:t>
      </w:r>
      <w:r w:rsidR="00443B8E" w:rsidRPr="3C7EFEEB">
        <w:rPr>
          <w:rFonts w:asciiTheme="minorHAnsi" w:hAnsiTheme="minorHAnsi" w:cstheme="minorBidi"/>
          <w:sz w:val="40"/>
          <w:szCs w:val="40"/>
        </w:rPr>
        <w:t xml:space="preserve"> and opportunities</w:t>
      </w:r>
      <w:bookmarkEnd w:id="23"/>
    </w:p>
    <w:p w14:paraId="7AC03D68" w14:textId="77777777" w:rsidR="00F248C7" w:rsidRDefault="00F248C7" w:rsidP="00F248C7">
      <w:pPr>
        <w:spacing w:line="276" w:lineRule="auto"/>
        <w:rPr>
          <w:rFonts w:cstheme="minorBidi"/>
          <w:sz w:val="24"/>
          <w:szCs w:val="24"/>
        </w:rPr>
      </w:pPr>
      <w:r w:rsidRPr="00F248C7">
        <w:rPr>
          <w:rFonts w:cstheme="minorBidi"/>
          <w:sz w:val="24"/>
          <w:szCs w:val="24"/>
        </w:rPr>
        <w:t>Delivery of the Economic Wellbeing Strategy has supported activity across several targeted areas, including major events, destination promotion, business support, and investment in city assets. These initiatives have helped sustain participation, visitor spend, and business confidence during a period of significant economic disruption. However, despite this progress, the overall scale of economic change achieved to date has been limited, and Wellington continues to face persistent structural challenges.</w:t>
      </w:r>
    </w:p>
    <w:p w14:paraId="6A0F1B04" w14:textId="77777777" w:rsidR="00F248C7" w:rsidRPr="00F248C7" w:rsidRDefault="00F248C7" w:rsidP="00F248C7">
      <w:pPr>
        <w:spacing w:line="276" w:lineRule="auto"/>
        <w:rPr>
          <w:rFonts w:cstheme="minorBidi"/>
          <w:sz w:val="24"/>
          <w:szCs w:val="24"/>
        </w:rPr>
      </w:pPr>
    </w:p>
    <w:p w14:paraId="3C00ACDA" w14:textId="77777777" w:rsidR="00F248C7" w:rsidRDefault="00F248C7" w:rsidP="00F248C7">
      <w:pPr>
        <w:spacing w:line="276" w:lineRule="auto"/>
        <w:rPr>
          <w:rFonts w:cstheme="minorBidi"/>
          <w:sz w:val="24"/>
          <w:szCs w:val="24"/>
        </w:rPr>
      </w:pPr>
      <w:r w:rsidRPr="00F248C7">
        <w:rPr>
          <w:rFonts w:cstheme="minorBidi"/>
          <w:sz w:val="24"/>
          <w:szCs w:val="24"/>
        </w:rPr>
        <w:t>The operating context for economic development has shifted materially since many existing initiatives were established. Wellington City Council is entering the next Long</w:t>
      </w:r>
      <w:r w:rsidRPr="00F248C7">
        <w:rPr>
          <w:rFonts w:ascii="Cambria Math" w:hAnsi="Cambria Math" w:cs="Cambria Math"/>
          <w:sz w:val="24"/>
          <w:szCs w:val="24"/>
        </w:rPr>
        <w:t>‑</w:t>
      </w:r>
      <w:r w:rsidRPr="00F248C7">
        <w:rPr>
          <w:rFonts w:cstheme="minorBidi"/>
          <w:sz w:val="24"/>
          <w:szCs w:val="24"/>
        </w:rPr>
        <w:t>term Plan period amid sustained fiscal constraint, rising costs, and heightened expectations for value for money. At the same time, the city continues to experience structural economic pressures, including sector concentration, declining central</w:t>
      </w:r>
      <w:r w:rsidRPr="00F248C7">
        <w:rPr>
          <w:rFonts w:ascii="Cambria Math" w:hAnsi="Cambria Math" w:cs="Cambria Math"/>
          <w:sz w:val="24"/>
          <w:szCs w:val="24"/>
        </w:rPr>
        <w:t>‑</w:t>
      </w:r>
      <w:r w:rsidRPr="00F248C7">
        <w:rPr>
          <w:rFonts w:cstheme="minorBidi"/>
          <w:sz w:val="24"/>
          <w:szCs w:val="24"/>
        </w:rPr>
        <w:t>city vibrancy, affordability challenges for businesses and households, and increased exposure to external shocks. These conditions constrain the Council’s ability to sustain or expand a broad portfolio of economic development activity.</w:t>
      </w:r>
    </w:p>
    <w:p w14:paraId="693EE794" w14:textId="77777777" w:rsidR="00F248C7" w:rsidRPr="00F248C7" w:rsidRDefault="00F248C7" w:rsidP="00F248C7">
      <w:pPr>
        <w:spacing w:line="276" w:lineRule="auto"/>
        <w:rPr>
          <w:rFonts w:cstheme="minorBidi"/>
          <w:sz w:val="24"/>
          <w:szCs w:val="24"/>
        </w:rPr>
      </w:pPr>
    </w:p>
    <w:p w14:paraId="00F3FA98" w14:textId="77777777" w:rsidR="00F248C7" w:rsidRDefault="00F248C7" w:rsidP="00F248C7">
      <w:pPr>
        <w:spacing w:line="276" w:lineRule="auto"/>
        <w:rPr>
          <w:rFonts w:cstheme="minorBidi"/>
          <w:sz w:val="24"/>
          <w:szCs w:val="24"/>
        </w:rPr>
      </w:pPr>
      <w:r w:rsidRPr="00F248C7">
        <w:rPr>
          <w:rFonts w:cstheme="minorBidi"/>
          <w:sz w:val="24"/>
          <w:szCs w:val="24"/>
        </w:rPr>
        <w:t>In this environment, continuing to spread limited resources across a wide range of initiatives risks diluting impact. While multiple programmes have been delivered, their cumulative effect has not yet resulted in substantial or enduring economic transformation, particularly in relation to diversification, resilience, and long</w:t>
      </w:r>
      <w:r w:rsidRPr="00F248C7">
        <w:rPr>
          <w:rFonts w:ascii="Cambria Math" w:hAnsi="Cambria Math" w:cs="Cambria Math"/>
          <w:sz w:val="24"/>
          <w:szCs w:val="24"/>
        </w:rPr>
        <w:t>‑</w:t>
      </w:r>
      <w:r w:rsidRPr="00F248C7">
        <w:rPr>
          <w:rFonts w:cstheme="minorBidi"/>
          <w:sz w:val="24"/>
          <w:szCs w:val="24"/>
        </w:rPr>
        <w:t>term growth. This highlights the challenge of maintaining effectiveness and consistency across a dispersed set of interventions.</w:t>
      </w:r>
    </w:p>
    <w:p w14:paraId="1AE93B87" w14:textId="77777777" w:rsidR="00F248C7" w:rsidRPr="00F248C7" w:rsidRDefault="00F248C7" w:rsidP="00F248C7">
      <w:pPr>
        <w:spacing w:line="276" w:lineRule="auto"/>
        <w:rPr>
          <w:rFonts w:cstheme="minorBidi"/>
          <w:sz w:val="24"/>
          <w:szCs w:val="24"/>
        </w:rPr>
      </w:pPr>
    </w:p>
    <w:p w14:paraId="2AE15311" w14:textId="77777777" w:rsidR="00F248C7" w:rsidRDefault="00F248C7" w:rsidP="00F248C7">
      <w:pPr>
        <w:spacing w:line="276" w:lineRule="auto"/>
        <w:rPr>
          <w:rFonts w:cstheme="minorBidi"/>
          <w:sz w:val="24"/>
          <w:szCs w:val="24"/>
        </w:rPr>
      </w:pPr>
      <w:r w:rsidRPr="00F248C7">
        <w:rPr>
          <w:rFonts w:cstheme="minorBidi"/>
          <w:sz w:val="24"/>
          <w:szCs w:val="24"/>
        </w:rPr>
        <w:t>Tight financial conditions increase the importance of stronger investment discipline. A clearer line of sight between investment, intervention, and outcomes is required to ensure that Council resources are directed toward areas where the potential economic, social, and environmental return is greatest, within constrained funding and delivery capacity.</w:t>
      </w:r>
    </w:p>
    <w:p w14:paraId="771C8FB6" w14:textId="77777777" w:rsidR="00F248C7" w:rsidRPr="00F248C7" w:rsidRDefault="00F248C7" w:rsidP="00F248C7">
      <w:pPr>
        <w:spacing w:line="276" w:lineRule="auto"/>
        <w:rPr>
          <w:rFonts w:cstheme="minorBidi"/>
          <w:sz w:val="24"/>
          <w:szCs w:val="24"/>
        </w:rPr>
      </w:pPr>
    </w:p>
    <w:p w14:paraId="213C6F59" w14:textId="77777777" w:rsidR="00F248C7" w:rsidRDefault="00F248C7" w:rsidP="00F248C7">
      <w:pPr>
        <w:spacing w:line="276" w:lineRule="auto"/>
        <w:rPr>
          <w:rFonts w:cstheme="minorBidi"/>
          <w:sz w:val="24"/>
          <w:szCs w:val="24"/>
        </w:rPr>
      </w:pPr>
      <w:r w:rsidRPr="00F248C7">
        <w:rPr>
          <w:rFonts w:cstheme="minorBidi"/>
          <w:sz w:val="24"/>
          <w:szCs w:val="24"/>
        </w:rPr>
        <w:t>The Council’s economic development role is most influential where it can leverage partnerships, enable private and community investment, and address structural constraints such as sector concentration and declining amenity quality. Clarifying the focus and scale of Council intervention is critical to maximising the impact of limited resources and strengthening Wellington’s economic resilience over the long term.</w:t>
      </w:r>
    </w:p>
    <w:p w14:paraId="3297AC47" w14:textId="77777777" w:rsidR="00F248C7" w:rsidRPr="00F248C7" w:rsidRDefault="00F248C7" w:rsidP="00F248C7">
      <w:pPr>
        <w:spacing w:line="276" w:lineRule="auto"/>
        <w:rPr>
          <w:rFonts w:cstheme="minorBidi"/>
          <w:sz w:val="24"/>
          <w:szCs w:val="24"/>
        </w:rPr>
      </w:pPr>
    </w:p>
    <w:p w14:paraId="77886E8F" w14:textId="3C6F1887" w:rsidR="005A4F47" w:rsidRPr="005A4F47" w:rsidRDefault="00F248C7" w:rsidP="572EF19C">
      <w:pPr>
        <w:spacing w:line="276" w:lineRule="auto"/>
        <w:rPr>
          <w:rFonts w:cstheme="minorBidi"/>
          <w:sz w:val="24"/>
          <w:szCs w:val="24"/>
        </w:rPr>
      </w:pPr>
      <w:r w:rsidRPr="572EF19C">
        <w:rPr>
          <w:rFonts w:cstheme="minorBidi"/>
          <w:sz w:val="24"/>
          <w:szCs w:val="24"/>
        </w:rPr>
        <w:t>The following sections examine the key issues and opportunities shaping Wellington’s economic future, drawing on performance data, stakeholder feedback, and recent analysis. Together, they identify where current approaches are delivering value, where gaps remain, and the implications for how economic development activity is prioritised and assessed.</w:t>
      </w:r>
      <w:r w:rsidR="005A4F47" w:rsidRPr="572EF19C">
        <w:rPr>
          <w:rFonts w:cstheme="minorBidi"/>
          <w:sz w:val="24"/>
          <w:szCs w:val="24"/>
        </w:rPr>
        <w:t xml:space="preserve"> Many of the issues outlined below reflect the tension between maintaining a </w:t>
      </w:r>
      <w:r w:rsidR="48435C22" w:rsidRPr="572EF19C">
        <w:rPr>
          <w:rFonts w:cstheme="minorBidi"/>
          <w:sz w:val="24"/>
          <w:szCs w:val="24"/>
        </w:rPr>
        <w:t>business-friendly</w:t>
      </w:r>
      <w:r w:rsidR="005A4F47" w:rsidRPr="572EF19C">
        <w:rPr>
          <w:rFonts w:cstheme="minorBidi"/>
          <w:sz w:val="24"/>
          <w:szCs w:val="24"/>
        </w:rPr>
        <w:t xml:space="preserve"> operating environment and concentrating limited investment in areas where Wellington holds a clear comparative advantage, particularly in creative, screen, and </w:t>
      </w:r>
      <w:r w:rsidR="3CD9A516" w:rsidRPr="572EF19C">
        <w:rPr>
          <w:rFonts w:cstheme="minorBidi"/>
          <w:sz w:val="24"/>
          <w:szCs w:val="24"/>
        </w:rPr>
        <w:t>innovation led</w:t>
      </w:r>
      <w:r w:rsidR="005A4F47" w:rsidRPr="572EF19C">
        <w:rPr>
          <w:rFonts w:cstheme="minorBidi"/>
          <w:sz w:val="24"/>
          <w:szCs w:val="24"/>
        </w:rPr>
        <w:t xml:space="preserve"> sectors.</w:t>
      </w:r>
    </w:p>
    <w:p w14:paraId="1E813081" w14:textId="48066054" w:rsidR="00350C4A" w:rsidRDefault="00350C4A" w:rsidP="00F248C7">
      <w:pPr>
        <w:spacing w:line="276" w:lineRule="auto"/>
        <w:rPr>
          <w:rFonts w:cstheme="minorBidi"/>
          <w:sz w:val="24"/>
          <w:szCs w:val="24"/>
        </w:rPr>
      </w:pPr>
    </w:p>
    <w:p w14:paraId="64E057EE" w14:textId="77777777" w:rsidR="00F248C7" w:rsidRPr="00E6041E" w:rsidRDefault="00F248C7" w:rsidP="00F248C7">
      <w:pPr>
        <w:spacing w:line="276" w:lineRule="auto"/>
        <w:rPr>
          <w:rFonts w:cstheme="minorHAnsi"/>
          <w:sz w:val="24"/>
          <w:szCs w:val="24"/>
        </w:rPr>
      </w:pPr>
    </w:p>
    <w:p w14:paraId="681FBB9F" w14:textId="036DDE25" w:rsidR="008500F1" w:rsidRPr="00350C4A" w:rsidRDefault="00D35FCD" w:rsidP="3C7EFEEB">
      <w:pPr>
        <w:pStyle w:val="Heading2"/>
        <w:spacing w:before="0" w:after="0" w:line="276" w:lineRule="auto"/>
        <w:rPr>
          <w:rFonts w:asciiTheme="minorHAnsi" w:hAnsiTheme="minorHAnsi" w:cstheme="minorBidi"/>
          <w:sz w:val="32"/>
          <w:szCs w:val="32"/>
        </w:rPr>
      </w:pPr>
      <w:bookmarkStart w:id="24" w:name="_Toc223964616"/>
      <w:r w:rsidRPr="3C7EFEEB">
        <w:rPr>
          <w:rFonts w:asciiTheme="minorHAnsi" w:hAnsiTheme="minorHAnsi" w:cstheme="minorBidi"/>
          <w:sz w:val="32"/>
          <w:szCs w:val="32"/>
        </w:rPr>
        <w:t xml:space="preserve">High concentration </w:t>
      </w:r>
      <w:r w:rsidR="00917AD0" w:rsidRPr="3C7EFEEB">
        <w:rPr>
          <w:rFonts w:asciiTheme="minorHAnsi" w:hAnsiTheme="minorHAnsi" w:cstheme="minorBidi"/>
          <w:sz w:val="32"/>
          <w:szCs w:val="32"/>
        </w:rPr>
        <w:t>in a few sectors, opportunities to leverage strengths</w:t>
      </w:r>
      <w:r w:rsidR="00677A2F" w:rsidRPr="3C7EFEEB">
        <w:rPr>
          <w:rFonts w:asciiTheme="minorHAnsi" w:hAnsiTheme="minorHAnsi" w:cstheme="minorBidi"/>
          <w:sz w:val="32"/>
          <w:szCs w:val="32"/>
        </w:rPr>
        <w:t xml:space="preserve"> and diversity</w:t>
      </w:r>
      <w:bookmarkEnd w:id="24"/>
    </w:p>
    <w:p w14:paraId="7BD31076" w14:textId="43DA5E4C" w:rsidR="00C06E35" w:rsidRDefault="005B3440" w:rsidP="4667AA84">
      <w:pPr>
        <w:spacing w:line="276" w:lineRule="auto"/>
        <w:rPr>
          <w:rFonts w:cstheme="minorBidi"/>
          <w:sz w:val="24"/>
          <w:szCs w:val="24"/>
        </w:rPr>
      </w:pPr>
      <w:r w:rsidRPr="4667AA84">
        <w:rPr>
          <w:rFonts w:cstheme="minorBidi"/>
          <w:sz w:val="24"/>
          <w:szCs w:val="24"/>
        </w:rPr>
        <w:t xml:space="preserve">Wellington’s economy remains highly concentrated in a small number of sectors, increasing vulnerability to economic shocks and policy change. This concentration risk has become more pronounced amid shifting consumer behaviour, sustained economic pressure, and structural change following the pandemic period. The continued expansion of </w:t>
      </w:r>
      <w:r w:rsidR="2883450E" w:rsidRPr="4667AA84">
        <w:rPr>
          <w:rFonts w:cstheme="minorBidi"/>
          <w:sz w:val="24"/>
          <w:szCs w:val="24"/>
        </w:rPr>
        <w:t>remote and</w:t>
      </w:r>
      <w:r w:rsidRPr="4667AA84">
        <w:rPr>
          <w:rFonts w:cstheme="minorBidi"/>
          <w:sz w:val="24"/>
          <w:szCs w:val="24"/>
        </w:rPr>
        <w:t xml:space="preserve"> changing spending patterns are reshaping demand for services and amenities, with uncertainty persisting.</w:t>
      </w:r>
    </w:p>
    <w:p w14:paraId="07FB6712" w14:textId="77777777" w:rsidR="00C160A3" w:rsidRDefault="00C160A3" w:rsidP="00C160A3">
      <w:pPr>
        <w:spacing w:line="276" w:lineRule="auto"/>
        <w:rPr>
          <w:rFonts w:cstheme="minorBidi"/>
          <w:sz w:val="24"/>
          <w:szCs w:val="24"/>
        </w:rPr>
      </w:pPr>
    </w:p>
    <w:p w14:paraId="20CA6B52" w14:textId="20FF94C7" w:rsidR="005B3440" w:rsidRPr="005B3440" w:rsidRDefault="005B3440" w:rsidP="00C160A3">
      <w:pPr>
        <w:spacing w:line="276" w:lineRule="auto"/>
        <w:rPr>
          <w:rFonts w:cstheme="minorBidi"/>
          <w:sz w:val="24"/>
          <w:szCs w:val="24"/>
        </w:rPr>
      </w:pPr>
      <w:r w:rsidRPr="005B3440">
        <w:rPr>
          <w:rFonts w:cstheme="minorBidi"/>
          <w:sz w:val="24"/>
          <w:szCs w:val="24"/>
        </w:rPr>
        <w:t>Central government decisions and changes to national funding priorities have had a significant impact on Wellington’s employment base and economic performance, particularly given the city’s reliance on public administration. These pressures are compounded by international factors, including ongoing volatility in tourism and travel, global market disruption, changing migration patterns, and increased competition from other cities and regions for talent, visitors, and investment.</w:t>
      </w:r>
    </w:p>
    <w:p w14:paraId="701EA4CC" w14:textId="77777777" w:rsidR="00C160A3" w:rsidRDefault="00C160A3" w:rsidP="00C160A3">
      <w:pPr>
        <w:spacing w:line="276" w:lineRule="auto"/>
        <w:rPr>
          <w:rFonts w:cstheme="minorBidi"/>
          <w:sz w:val="24"/>
          <w:szCs w:val="24"/>
        </w:rPr>
      </w:pPr>
    </w:p>
    <w:p w14:paraId="1083DED1" w14:textId="52ADC9AC" w:rsidR="005B3440" w:rsidRPr="005B3440" w:rsidRDefault="005B3440" w:rsidP="00C160A3">
      <w:pPr>
        <w:spacing w:line="276" w:lineRule="auto"/>
        <w:rPr>
          <w:rFonts w:cstheme="minorBidi"/>
          <w:sz w:val="24"/>
          <w:szCs w:val="24"/>
        </w:rPr>
      </w:pPr>
      <w:r w:rsidRPr="005B3440">
        <w:rPr>
          <w:rFonts w:cstheme="minorBidi"/>
          <w:sz w:val="24"/>
          <w:szCs w:val="24"/>
        </w:rPr>
        <w:t>Together, these conditions reinforce the risks associated with sector concentration and contribute to ongoing job insecurity and subdued consumer confidence, particularly in sectors such as construction and tourism. While overall economic conditions remain weak, household incomes have continued to increase at a slower rate, and business engagement remains relatively strong, indicating pockets of resilience rather than broad</w:t>
      </w:r>
      <w:r w:rsidRPr="00C160A3">
        <w:rPr>
          <w:rFonts w:ascii="Cambria Math" w:hAnsi="Cambria Math" w:cs="Cambria Math"/>
          <w:sz w:val="24"/>
          <w:szCs w:val="24"/>
        </w:rPr>
        <w:t>‑</w:t>
      </w:r>
      <w:r w:rsidRPr="005B3440">
        <w:rPr>
          <w:rFonts w:cstheme="minorBidi"/>
          <w:sz w:val="24"/>
          <w:szCs w:val="24"/>
        </w:rPr>
        <w:t>based recovery.</w:t>
      </w:r>
    </w:p>
    <w:p w14:paraId="71F2BCE1" w14:textId="77777777" w:rsidR="00C160A3" w:rsidRDefault="00C160A3" w:rsidP="00C160A3">
      <w:pPr>
        <w:spacing w:line="276" w:lineRule="auto"/>
        <w:rPr>
          <w:rFonts w:cstheme="minorBidi"/>
          <w:sz w:val="24"/>
          <w:szCs w:val="24"/>
        </w:rPr>
      </w:pPr>
    </w:p>
    <w:p w14:paraId="776B4EC2" w14:textId="48B9EE08" w:rsidR="005B3440" w:rsidRDefault="005B3440" w:rsidP="00C160A3">
      <w:pPr>
        <w:spacing w:line="276" w:lineRule="auto"/>
        <w:rPr>
          <w:rFonts w:cstheme="minorBidi"/>
          <w:sz w:val="24"/>
          <w:szCs w:val="24"/>
        </w:rPr>
      </w:pPr>
      <w:r w:rsidRPr="005B3440">
        <w:rPr>
          <w:rFonts w:cstheme="minorBidi"/>
          <w:sz w:val="24"/>
          <w:szCs w:val="24"/>
        </w:rPr>
        <w:t xml:space="preserve">Wellington retains a competitive advantage as New Zealand’s creative capital. The city has maintained the highest proportion of its workforce employed in creative industries nationally since 2000, with 6.72% of the workforce engaged in creative industries in 2024, as reflected in the </w:t>
      </w:r>
      <w:proofErr w:type="spellStart"/>
      <w:r w:rsidRPr="005B3440">
        <w:rPr>
          <w:rFonts w:cstheme="minorBidi"/>
          <w:sz w:val="24"/>
          <w:szCs w:val="24"/>
        </w:rPr>
        <w:t>Infometrics</w:t>
      </w:r>
      <w:proofErr w:type="spellEnd"/>
      <w:r w:rsidRPr="005B3440">
        <w:rPr>
          <w:rFonts w:cstheme="minorBidi"/>
          <w:sz w:val="24"/>
          <w:szCs w:val="24"/>
        </w:rPr>
        <w:t xml:space="preserve"> Creativity Index</w:t>
      </w:r>
      <w:r w:rsidRPr="00D51A07">
        <w:rPr>
          <w:rFonts w:cstheme="minorBidi"/>
          <w:sz w:val="24"/>
          <w:szCs w:val="24"/>
          <w:vertAlign w:val="superscript"/>
        </w:rPr>
        <w:footnoteReference w:id="5"/>
      </w:r>
      <w:r w:rsidRPr="005B3440">
        <w:rPr>
          <w:rFonts w:cstheme="minorBidi"/>
          <w:sz w:val="24"/>
          <w:szCs w:val="24"/>
        </w:rPr>
        <w:t>. However, while this lead remains stable, it is no longer widening, and increased competition from other centres suggests that this advantage cannot be assumed to persist without continued focus.</w:t>
      </w:r>
      <w:r w:rsidR="00707382">
        <w:rPr>
          <w:rFonts w:cstheme="minorBidi"/>
          <w:sz w:val="24"/>
          <w:szCs w:val="24"/>
        </w:rPr>
        <w:t xml:space="preserve"> </w:t>
      </w:r>
      <w:r w:rsidR="00707382" w:rsidRPr="00707382">
        <w:rPr>
          <w:rFonts w:cstheme="minorBidi"/>
          <w:sz w:val="24"/>
          <w:szCs w:val="24"/>
        </w:rPr>
        <w:t>This suggests that sustaining Wellington’s creative advantage will increasingly depend on deliberate focus and coordination, rather than broad</w:t>
      </w:r>
      <w:r w:rsidR="00707382" w:rsidRPr="00707382">
        <w:rPr>
          <w:rFonts w:ascii="Cambria Math" w:hAnsi="Cambria Math" w:cs="Cambria Math"/>
          <w:sz w:val="24"/>
          <w:szCs w:val="24"/>
        </w:rPr>
        <w:t>‑</w:t>
      </w:r>
      <w:r w:rsidR="00707382" w:rsidRPr="00707382">
        <w:rPr>
          <w:rFonts w:cstheme="minorBidi"/>
          <w:sz w:val="24"/>
          <w:szCs w:val="24"/>
        </w:rPr>
        <w:t>based economic intervention.</w:t>
      </w:r>
    </w:p>
    <w:p w14:paraId="599E32EA" w14:textId="77777777" w:rsidR="00C160A3" w:rsidRDefault="00C160A3" w:rsidP="00C160A3">
      <w:pPr>
        <w:spacing w:line="276" w:lineRule="auto"/>
        <w:rPr>
          <w:rFonts w:cstheme="minorBidi"/>
          <w:sz w:val="24"/>
          <w:szCs w:val="24"/>
        </w:rPr>
      </w:pPr>
    </w:p>
    <w:p w14:paraId="7649EA18" w14:textId="04A6453D" w:rsidR="00C06E35" w:rsidRPr="00C06E35" w:rsidRDefault="00C06E35" w:rsidP="4667AA84">
      <w:pPr>
        <w:spacing w:line="276" w:lineRule="auto"/>
        <w:rPr>
          <w:rFonts w:cstheme="minorBidi"/>
          <w:sz w:val="24"/>
          <w:szCs w:val="24"/>
        </w:rPr>
      </w:pPr>
      <w:r w:rsidRPr="4667AA84">
        <w:rPr>
          <w:rFonts w:cstheme="minorBidi"/>
          <w:sz w:val="24"/>
          <w:szCs w:val="24"/>
        </w:rPr>
        <w:t>In addition to established strengths in creative</w:t>
      </w:r>
      <w:r w:rsidR="7051F31E" w:rsidRPr="4667AA84">
        <w:rPr>
          <w:rFonts w:cstheme="minorBidi"/>
          <w:sz w:val="24"/>
          <w:szCs w:val="24"/>
        </w:rPr>
        <w:t>, screen, science</w:t>
      </w:r>
      <w:r w:rsidRPr="4667AA84">
        <w:rPr>
          <w:rFonts w:cstheme="minorBidi"/>
          <w:sz w:val="24"/>
          <w:szCs w:val="24"/>
        </w:rPr>
        <w:t xml:space="preserve"> and technology sectors, there are emerging opportunities in education and research</w:t>
      </w:r>
      <w:r w:rsidRPr="4667AA84">
        <w:rPr>
          <w:rFonts w:ascii="Cambria Math" w:hAnsi="Cambria Math" w:cs="Cambria Math"/>
          <w:sz w:val="24"/>
          <w:szCs w:val="24"/>
        </w:rPr>
        <w:t>‑</w:t>
      </w:r>
      <w:r w:rsidRPr="4667AA84">
        <w:rPr>
          <w:rFonts w:cstheme="minorBidi"/>
          <w:sz w:val="24"/>
          <w:szCs w:val="24"/>
        </w:rPr>
        <w:t>led activity. International student enrolments are recovering, supporting renewed momentum in the education sector and associated employment. Wellington also retains strong concentrations of expertise in health, climate, and hazards research, which continue to underpin specialist roles and innovation activity.</w:t>
      </w:r>
    </w:p>
    <w:p w14:paraId="12E0076C" w14:textId="77777777" w:rsidR="00C160A3" w:rsidRDefault="00C160A3" w:rsidP="00C160A3">
      <w:pPr>
        <w:spacing w:line="276" w:lineRule="auto"/>
        <w:rPr>
          <w:rFonts w:cstheme="minorBidi"/>
          <w:sz w:val="24"/>
          <w:szCs w:val="24"/>
        </w:rPr>
      </w:pPr>
    </w:p>
    <w:p w14:paraId="0FEE2154" w14:textId="25143272" w:rsidR="00C06E35" w:rsidRDefault="00C06E35" w:rsidP="00C160A3">
      <w:pPr>
        <w:spacing w:line="276" w:lineRule="auto"/>
        <w:rPr>
          <w:rFonts w:cstheme="minorBidi"/>
          <w:sz w:val="24"/>
          <w:szCs w:val="24"/>
        </w:rPr>
      </w:pPr>
      <w:r w:rsidRPr="00C06E35">
        <w:rPr>
          <w:rFonts w:cstheme="minorBidi"/>
          <w:sz w:val="24"/>
          <w:szCs w:val="24"/>
        </w:rPr>
        <w:t>Overall, these dynamics highlight both the risks of economic concentration and the importance of leveraging existing strengths to support greater resilience. Diversification through innovation</w:t>
      </w:r>
      <w:r w:rsidRPr="00C160A3">
        <w:rPr>
          <w:rFonts w:ascii="Cambria Math" w:hAnsi="Cambria Math" w:cs="Cambria Math"/>
          <w:sz w:val="24"/>
          <w:szCs w:val="24"/>
        </w:rPr>
        <w:t>‑</w:t>
      </w:r>
      <w:r w:rsidRPr="00C06E35">
        <w:rPr>
          <w:rFonts w:cstheme="minorBidi"/>
          <w:sz w:val="24"/>
          <w:szCs w:val="24"/>
        </w:rPr>
        <w:t>led, knowledge</w:t>
      </w:r>
      <w:r w:rsidRPr="00C160A3">
        <w:rPr>
          <w:rFonts w:ascii="Cambria Math" w:hAnsi="Cambria Math" w:cs="Cambria Math"/>
          <w:sz w:val="24"/>
          <w:szCs w:val="24"/>
        </w:rPr>
        <w:t>‑</w:t>
      </w:r>
      <w:r w:rsidRPr="00C06E35">
        <w:rPr>
          <w:rFonts w:cstheme="minorBidi"/>
          <w:sz w:val="24"/>
          <w:szCs w:val="24"/>
        </w:rPr>
        <w:t>intensive sectors offers potential to strengthen Wellington’s economic base, but progress is shaped by funding constraints, external dependencies, and the need for sustained coordination across partners. Further detail on the creative sector context is provided in the Arts and Culture background report.</w:t>
      </w:r>
    </w:p>
    <w:p w14:paraId="16946F8C" w14:textId="77777777" w:rsidR="00B404E6" w:rsidRDefault="00B404E6" w:rsidP="00C160A3">
      <w:pPr>
        <w:spacing w:line="276" w:lineRule="auto"/>
        <w:rPr>
          <w:rFonts w:cstheme="minorBidi"/>
          <w:sz w:val="24"/>
          <w:szCs w:val="24"/>
        </w:rPr>
      </w:pPr>
    </w:p>
    <w:p w14:paraId="3FA946F0" w14:textId="02A1B01E" w:rsidR="00E26E5B" w:rsidRPr="00350C4A" w:rsidRDefault="00E26E5B" w:rsidP="00C06E35">
      <w:pPr>
        <w:pStyle w:val="Heading2"/>
        <w:spacing w:before="0" w:after="0" w:line="276" w:lineRule="auto"/>
        <w:rPr>
          <w:rFonts w:asciiTheme="minorHAnsi" w:hAnsiTheme="minorHAnsi" w:cstheme="minorBidi"/>
          <w:sz w:val="32"/>
          <w:szCs w:val="32"/>
        </w:rPr>
      </w:pPr>
      <w:bookmarkStart w:id="25" w:name="_Toc223964617"/>
      <w:r w:rsidRPr="3C7EFEEB">
        <w:rPr>
          <w:rFonts w:asciiTheme="minorHAnsi" w:hAnsiTheme="minorHAnsi" w:cstheme="minorBidi"/>
          <w:sz w:val="32"/>
          <w:szCs w:val="32"/>
        </w:rPr>
        <w:t>Decline in central city vibrancy</w:t>
      </w:r>
      <w:r w:rsidR="00DE154F" w:rsidRPr="3C7EFEEB">
        <w:rPr>
          <w:rFonts w:asciiTheme="minorHAnsi" w:hAnsiTheme="minorHAnsi" w:cstheme="minorBidi"/>
          <w:sz w:val="32"/>
          <w:szCs w:val="32"/>
        </w:rPr>
        <w:t>, high operat</w:t>
      </w:r>
      <w:r w:rsidR="7AA44DF4" w:rsidRPr="3C7EFEEB">
        <w:rPr>
          <w:rFonts w:asciiTheme="minorHAnsi" w:hAnsiTheme="minorHAnsi" w:cstheme="minorBidi"/>
          <w:sz w:val="32"/>
          <w:szCs w:val="32"/>
        </w:rPr>
        <w:t>ing costs</w:t>
      </w:r>
      <w:r w:rsidR="00DE154F" w:rsidRPr="3C7EFEEB">
        <w:rPr>
          <w:rFonts w:asciiTheme="minorHAnsi" w:hAnsiTheme="minorHAnsi" w:cstheme="minorBidi"/>
          <w:sz w:val="32"/>
          <w:szCs w:val="32"/>
        </w:rPr>
        <w:t>,</w:t>
      </w:r>
      <w:r w:rsidRPr="3C7EFEEB">
        <w:rPr>
          <w:rFonts w:asciiTheme="minorHAnsi" w:hAnsiTheme="minorHAnsi" w:cstheme="minorBidi"/>
          <w:sz w:val="32"/>
          <w:szCs w:val="32"/>
        </w:rPr>
        <w:t xml:space="preserve"> and impact of </w:t>
      </w:r>
      <w:r w:rsidR="1754420B" w:rsidRPr="3C7EFEEB">
        <w:rPr>
          <w:rFonts w:asciiTheme="minorHAnsi" w:hAnsiTheme="minorHAnsi" w:cstheme="minorBidi"/>
          <w:sz w:val="32"/>
          <w:szCs w:val="32"/>
        </w:rPr>
        <w:t>disruption</w:t>
      </w:r>
      <w:r w:rsidRPr="3C7EFEEB">
        <w:rPr>
          <w:rFonts w:asciiTheme="minorHAnsi" w:hAnsiTheme="minorHAnsi" w:cstheme="minorBidi"/>
          <w:sz w:val="32"/>
          <w:szCs w:val="32"/>
        </w:rPr>
        <w:t xml:space="preserve"> on businesses</w:t>
      </w:r>
      <w:bookmarkEnd w:id="25"/>
    </w:p>
    <w:p w14:paraId="5C134671" w14:textId="4EFF91E1" w:rsidR="00E26E5B" w:rsidRDefault="3D548BF2" w:rsidP="00E26E5B">
      <w:pPr>
        <w:pStyle w:val="Body"/>
        <w:spacing w:after="0" w:line="276" w:lineRule="auto"/>
        <w:rPr>
          <w:rFonts w:cstheme="minorBidi"/>
          <w:sz w:val="24"/>
          <w:szCs w:val="24"/>
        </w:rPr>
      </w:pPr>
      <w:r w:rsidRPr="68952F3F">
        <w:rPr>
          <w:rFonts w:cstheme="minorBidi"/>
          <w:sz w:val="24"/>
          <w:szCs w:val="24"/>
        </w:rPr>
        <w:t xml:space="preserve">Wellington’s central city has seen a decline in </w:t>
      </w:r>
      <w:r w:rsidR="6C9F958E" w:rsidRPr="68952F3F">
        <w:rPr>
          <w:rFonts w:cstheme="minorBidi"/>
          <w:sz w:val="24"/>
          <w:szCs w:val="24"/>
        </w:rPr>
        <w:t>amenity</w:t>
      </w:r>
      <w:r w:rsidR="00E26E5B" w:rsidRPr="58518799">
        <w:rPr>
          <w:rFonts w:cstheme="minorBidi"/>
          <w:sz w:val="24"/>
          <w:szCs w:val="24"/>
        </w:rPr>
        <w:t xml:space="preserve">, with retail vacancies and reduced </w:t>
      </w:r>
      <w:r w:rsidR="00E26E5B" w:rsidRPr="68952F3F" w:rsidDel="2FB6AF8F">
        <w:rPr>
          <w:rFonts w:cstheme="minorBidi"/>
          <w:sz w:val="24"/>
          <w:szCs w:val="24"/>
        </w:rPr>
        <w:t xml:space="preserve">footfall </w:t>
      </w:r>
      <w:r w:rsidR="651A2853" w:rsidRPr="68952F3F">
        <w:rPr>
          <w:rFonts w:cstheme="minorBidi"/>
          <w:sz w:val="24"/>
          <w:szCs w:val="24"/>
        </w:rPr>
        <w:t>reducing</w:t>
      </w:r>
      <w:r w:rsidR="50281CD2" w:rsidRPr="68952F3F">
        <w:rPr>
          <w:rFonts w:cstheme="minorBidi"/>
          <w:sz w:val="24"/>
          <w:szCs w:val="24"/>
        </w:rPr>
        <w:t xml:space="preserve"> </w:t>
      </w:r>
      <w:r w:rsidR="3E586E18" w:rsidRPr="68952F3F">
        <w:rPr>
          <w:rFonts w:cstheme="minorBidi"/>
          <w:sz w:val="24"/>
          <w:szCs w:val="24"/>
        </w:rPr>
        <w:t>economic</w:t>
      </w:r>
      <w:r w:rsidR="00E26E5B" w:rsidRPr="58518799">
        <w:rPr>
          <w:rFonts w:cstheme="minorBidi"/>
          <w:sz w:val="24"/>
          <w:szCs w:val="24"/>
        </w:rPr>
        <w:t xml:space="preserve"> activity</w:t>
      </w:r>
      <w:r w:rsidR="3E1FE0C3" w:rsidRPr="68952F3F">
        <w:rPr>
          <w:rFonts w:cstheme="minorBidi"/>
          <w:sz w:val="24"/>
          <w:szCs w:val="24"/>
        </w:rPr>
        <w:t xml:space="preserve"> (spend and employment)</w:t>
      </w:r>
      <w:r w:rsidRPr="68952F3F">
        <w:rPr>
          <w:rFonts w:cstheme="minorBidi"/>
          <w:sz w:val="24"/>
          <w:szCs w:val="24"/>
        </w:rPr>
        <w:t>.</w:t>
      </w:r>
      <w:r w:rsidR="00E26E5B" w:rsidRPr="58518799">
        <w:rPr>
          <w:rFonts w:cstheme="minorBidi"/>
          <w:sz w:val="24"/>
          <w:szCs w:val="24"/>
        </w:rPr>
        <w:t xml:space="preserve"> The proportion of residents who agree that the city centre is lively and attractive, has declined from 80% in 2019 to 29% in 2025 (RMS 2025). </w:t>
      </w:r>
      <w:r w:rsidR="1C13AA84" w:rsidRPr="68952F3F">
        <w:rPr>
          <w:rFonts w:cstheme="minorBidi"/>
          <w:sz w:val="24"/>
          <w:szCs w:val="24"/>
        </w:rPr>
        <w:t xml:space="preserve">Expressed </w:t>
      </w:r>
      <w:r w:rsidR="61E03A39" w:rsidRPr="68952F3F">
        <w:rPr>
          <w:rFonts w:cstheme="minorBidi"/>
          <w:sz w:val="24"/>
          <w:szCs w:val="24"/>
        </w:rPr>
        <w:t>c</w:t>
      </w:r>
      <w:r w:rsidRPr="68952F3F">
        <w:rPr>
          <w:rFonts w:cstheme="minorBidi"/>
          <w:sz w:val="24"/>
          <w:szCs w:val="24"/>
        </w:rPr>
        <w:t>oncerns</w:t>
      </w:r>
      <w:r w:rsidR="00E26E5B" w:rsidRPr="58518799">
        <w:rPr>
          <w:rFonts w:cstheme="minorBidi"/>
          <w:sz w:val="24"/>
          <w:szCs w:val="24"/>
        </w:rPr>
        <w:t xml:space="preserve"> about cleanliness and safety have further eroded public confidence, making the city less attractive for residents, visitors, and businesses. </w:t>
      </w:r>
    </w:p>
    <w:p w14:paraId="6A825469" w14:textId="77777777" w:rsidR="00E26E5B" w:rsidRDefault="00E26E5B" w:rsidP="00E26E5B">
      <w:pPr>
        <w:pStyle w:val="Body"/>
        <w:spacing w:after="0" w:line="276" w:lineRule="auto"/>
        <w:rPr>
          <w:rFonts w:cstheme="minorHAnsi"/>
          <w:sz w:val="24"/>
          <w:szCs w:val="24"/>
        </w:rPr>
      </w:pPr>
    </w:p>
    <w:p w14:paraId="24ED278C" w14:textId="68B6B6F7" w:rsidR="00E26E5B" w:rsidRPr="00E6041E" w:rsidRDefault="00E26E5B" w:rsidP="3C7EFEEB">
      <w:pPr>
        <w:pStyle w:val="Body"/>
        <w:spacing w:after="0" w:line="276" w:lineRule="auto"/>
        <w:rPr>
          <w:rFonts w:cstheme="minorBidi"/>
          <w:sz w:val="24"/>
          <w:szCs w:val="24"/>
        </w:rPr>
      </w:pPr>
      <w:r w:rsidRPr="3C7EFEEB">
        <w:rPr>
          <w:rFonts w:cstheme="minorBidi"/>
          <w:sz w:val="24"/>
          <w:szCs w:val="24"/>
        </w:rPr>
        <w:t xml:space="preserve">While infrastructure </w:t>
      </w:r>
      <w:r w:rsidR="2573F17A" w:rsidRPr="68952F3F">
        <w:rPr>
          <w:rFonts w:cstheme="minorBidi"/>
          <w:sz w:val="24"/>
          <w:szCs w:val="24"/>
        </w:rPr>
        <w:t xml:space="preserve">investment </w:t>
      </w:r>
      <w:r w:rsidR="486C0FBA" w:rsidRPr="68952F3F">
        <w:rPr>
          <w:rFonts w:cstheme="minorBidi"/>
          <w:sz w:val="24"/>
          <w:szCs w:val="24"/>
        </w:rPr>
        <w:t>is</w:t>
      </w:r>
      <w:r w:rsidRPr="3C7EFEEB">
        <w:rPr>
          <w:rFonts w:cstheme="minorBidi"/>
          <w:sz w:val="24"/>
          <w:szCs w:val="24"/>
        </w:rPr>
        <w:t xml:space="preserve"> essential for long-term city resilience</w:t>
      </w:r>
      <w:r w:rsidR="06CF05D7" w:rsidRPr="68952F3F">
        <w:rPr>
          <w:rFonts w:cstheme="minorBidi"/>
          <w:sz w:val="24"/>
          <w:szCs w:val="24"/>
        </w:rPr>
        <w:t xml:space="preserve"> and productivity uplift</w:t>
      </w:r>
      <w:r w:rsidRPr="3C7EFEEB">
        <w:rPr>
          <w:rFonts w:cstheme="minorBidi"/>
          <w:sz w:val="24"/>
          <w:szCs w:val="24"/>
        </w:rPr>
        <w:t xml:space="preserve">, they often </w:t>
      </w:r>
      <w:r w:rsidR="1E120705" w:rsidRPr="68952F3F">
        <w:rPr>
          <w:rFonts w:cstheme="minorBidi"/>
          <w:sz w:val="24"/>
          <w:szCs w:val="24"/>
        </w:rPr>
        <w:t>impose near term costs on</w:t>
      </w:r>
      <w:r w:rsidRPr="3C7EFEEB">
        <w:rPr>
          <w:rFonts w:cstheme="minorBidi"/>
          <w:sz w:val="24"/>
          <w:szCs w:val="24"/>
        </w:rPr>
        <w:t xml:space="preserve"> businesses</w:t>
      </w:r>
      <w:r w:rsidR="1E120705" w:rsidRPr="68952F3F">
        <w:rPr>
          <w:rFonts w:cstheme="minorBidi"/>
          <w:sz w:val="24"/>
          <w:szCs w:val="24"/>
        </w:rPr>
        <w:t xml:space="preserve"> due to</w:t>
      </w:r>
      <w:r w:rsidR="69D9B203" w:rsidRPr="68952F3F">
        <w:rPr>
          <w:rFonts w:cstheme="minorBidi"/>
          <w:sz w:val="24"/>
          <w:szCs w:val="24"/>
        </w:rPr>
        <w:t xml:space="preserve"> economic</w:t>
      </w:r>
      <w:r w:rsidR="1E120705" w:rsidRPr="68952F3F">
        <w:rPr>
          <w:rFonts w:cstheme="minorBidi"/>
          <w:sz w:val="24"/>
          <w:szCs w:val="24"/>
        </w:rPr>
        <w:t xml:space="preserve"> disruptio</w:t>
      </w:r>
      <w:r w:rsidR="233135D3" w:rsidRPr="68952F3F">
        <w:rPr>
          <w:rFonts w:cstheme="minorBidi"/>
          <w:sz w:val="24"/>
          <w:szCs w:val="24"/>
        </w:rPr>
        <w:t xml:space="preserve">n through reduced amenity, access </w:t>
      </w:r>
      <w:r w:rsidRPr="3C7EFEEB">
        <w:rPr>
          <w:rFonts w:cstheme="minorBidi"/>
          <w:sz w:val="24"/>
          <w:szCs w:val="24"/>
        </w:rPr>
        <w:t xml:space="preserve">and </w:t>
      </w:r>
      <w:r w:rsidR="233135D3" w:rsidRPr="68952F3F">
        <w:rPr>
          <w:rFonts w:cstheme="minorBidi"/>
          <w:sz w:val="24"/>
          <w:szCs w:val="24"/>
        </w:rPr>
        <w:t xml:space="preserve">footfall. </w:t>
      </w:r>
      <w:r w:rsidRPr="3C7EFEEB">
        <w:rPr>
          <w:rFonts w:cstheme="minorBidi"/>
          <w:sz w:val="24"/>
          <w:szCs w:val="24"/>
        </w:rPr>
        <w:t xml:space="preserve">These challenges are compounded by broader economic trends, including subdued job market conditions, high operating costs, and a general decline in consumer spending. Stakeholder feedback underscores the need for the Council to </w:t>
      </w:r>
      <w:r w:rsidR="7E21BAC4" w:rsidRPr="68952F3F">
        <w:rPr>
          <w:rFonts w:cstheme="minorBidi"/>
          <w:sz w:val="24"/>
          <w:szCs w:val="24"/>
        </w:rPr>
        <w:t>evidence return on investment and choice rational</w:t>
      </w:r>
      <w:r w:rsidRPr="3C7EFEEB">
        <w:rPr>
          <w:rFonts w:cstheme="minorBidi"/>
          <w:sz w:val="24"/>
          <w:szCs w:val="24"/>
        </w:rPr>
        <w:t xml:space="preserve"> with affordability and fiscal responsibility</w:t>
      </w:r>
      <w:r w:rsidR="634861A1" w:rsidRPr="2EE94AB7">
        <w:rPr>
          <w:rFonts w:cstheme="minorBidi"/>
          <w:sz w:val="24"/>
          <w:szCs w:val="24"/>
        </w:rPr>
        <w:t>.</w:t>
      </w:r>
    </w:p>
    <w:p w14:paraId="3912F2D0" w14:textId="77777777" w:rsidR="00E26E5B" w:rsidRDefault="00E26E5B" w:rsidP="00E26E5B">
      <w:pPr>
        <w:pStyle w:val="Body"/>
        <w:spacing w:after="0" w:line="276" w:lineRule="auto"/>
        <w:rPr>
          <w:rFonts w:cstheme="minorHAnsi"/>
          <w:sz w:val="24"/>
          <w:szCs w:val="24"/>
        </w:rPr>
      </w:pPr>
    </w:p>
    <w:p w14:paraId="26F9DDF2" w14:textId="47D64C98" w:rsidR="00E26E5B" w:rsidRPr="00E6041E" w:rsidRDefault="00E26E5B" w:rsidP="00E26E5B">
      <w:pPr>
        <w:pStyle w:val="Body"/>
        <w:spacing w:after="0" w:line="276" w:lineRule="auto"/>
        <w:rPr>
          <w:rFonts w:cstheme="minorBidi"/>
          <w:sz w:val="24"/>
          <w:szCs w:val="24"/>
        </w:rPr>
      </w:pPr>
      <w:r w:rsidRPr="31A6DB8C">
        <w:rPr>
          <w:rFonts w:cstheme="minorBidi"/>
          <w:sz w:val="24"/>
          <w:szCs w:val="24"/>
        </w:rPr>
        <w:t>In response, the Council has taken steps to support economic recovery and restore vibrancy in the central city</w:t>
      </w:r>
      <w:r w:rsidR="17C9B0C6" w:rsidRPr="169CC441">
        <w:rPr>
          <w:rFonts w:cstheme="minorBidi"/>
          <w:sz w:val="24"/>
          <w:szCs w:val="24"/>
        </w:rPr>
        <w:t>, for example activities</w:t>
      </w:r>
      <w:r w:rsidR="00344DE1">
        <w:rPr>
          <w:rFonts w:cstheme="minorBidi"/>
          <w:sz w:val="24"/>
          <w:szCs w:val="24"/>
        </w:rPr>
        <w:t xml:space="preserve"> </w:t>
      </w:r>
      <w:r w:rsidRPr="31A6DB8C">
        <w:rPr>
          <w:rFonts w:cstheme="minorBidi"/>
          <w:sz w:val="24"/>
          <w:szCs w:val="24"/>
        </w:rPr>
        <w:t xml:space="preserve">led by WellingtonNZ have delivered strong performance in economic development, with high participation in </w:t>
      </w:r>
      <w:r w:rsidR="2BDB3540" w:rsidRPr="5C2CF235">
        <w:rPr>
          <w:rFonts w:cstheme="minorBidi"/>
          <w:sz w:val="24"/>
          <w:szCs w:val="24"/>
        </w:rPr>
        <w:t>Major Events</w:t>
      </w:r>
      <w:r w:rsidRPr="31A6DB8C">
        <w:rPr>
          <w:rFonts w:cstheme="minorBidi"/>
          <w:sz w:val="24"/>
          <w:szCs w:val="24"/>
        </w:rPr>
        <w:t xml:space="preserve"> and support for </w:t>
      </w:r>
      <w:r w:rsidR="4483FD41" w:rsidRPr="740C4A4D">
        <w:rPr>
          <w:rFonts w:cstheme="minorBidi"/>
          <w:sz w:val="24"/>
          <w:szCs w:val="24"/>
        </w:rPr>
        <w:t xml:space="preserve">sectors such as tech and screen. </w:t>
      </w:r>
    </w:p>
    <w:p w14:paraId="5AC45239" w14:textId="0F26B984" w:rsidR="00E26E5B" w:rsidRPr="00350C4A" w:rsidRDefault="72C458A3" w:rsidP="3C7EFEEB">
      <w:pPr>
        <w:pStyle w:val="Heading3"/>
        <w:rPr>
          <w:rFonts w:asciiTheme="minorHAnsi" w:hAnsiTheme="minorHAnsi" w:cstheme="minorBidi"/>
          <w:sz w:val="24"/>
          <w:szCs w:val="24"/>
        </w:rPr>
      </w:pPr>
      <w:bookmarkStart w:id="26" w:name="_Toc223964618"/>
      <w:r w:rsidRPr="68952F3F">
        <w:rPr>
          <w:rFonts w:asciiTheme="minorHAnsi" w:hAnsiTheme="minorHAnsi" w:cstheme="minorBidi"/>
          <w:sz w:val="24"/>
          <w:szCs w:val="24"/>
        </w:rPr>
        <w:t>Elevated</w:t>
      </w:r>
      <w:r w:rsidR="00E26E5B" w:rsidRPr="3C7EFEEB">
        <w:rPr>
          <w:rFonts w:asciiTheme="minorHAnsi" w:hAnsiTheme="minorHAnsi" w:cstheme="minorBidi"/>
          <w:sz w:val="24"/>
          <w:szCs w:val="24"/>
        </w:rPr>
        <w:t xml:space="preserve"> business </w:t>
      </w:r>
      <w:r w:rsidRPr="68952F3F">
        <w:rPr>
          <w:rFonts w:asciiTheme="minorHAnsi" w:hAnsiTheme="minorHAnsi" w:cstheme="minorBidi"/>
          <w:sz w:val="24"/>
          <w:szCs w:val="24"/>
        </w:rPr>
        <w:t>input costs</w:t>
      </w:r>
      <w:r w:rsidR="3D548BF2" w:rsidRPr="68952F3F">
        <w:rPr>
          <w:rFonts w:asciiTheme="minorHAnsi" w:hAnsiTheme="minorHAnsi" w:cstheme="minorBidi"/>
          <w:sz w:val="24"/>
          <w:szCs w:val="24"/>
        </w:rPr>
        <w:t xml:space="preserve"> </w:t>
      </w:r>
      <w:r w:rsidR="00E26E5B" w:rsidRPr="3C7EFEEB">
        <w:rPr>
          <w:rFonts w:asciiTheme="minorHAnsi" w:hAnsiTheme="minorHAnsi" w:cstheme="minorBidi"/>
          <w:sz w:val="24"/>
          <w:szCs w:val="24"/>
        </w:rPr>
        <w:t>and Council-business relationships</w:t>
      </w:r>
      <w:bookmarkEnd w:id="26"/>
    </w:p>
    <w:p w14:paraId="068B2FA3" w14:textId="77777777" w:rsidR="00C160A3" w:rsidRPr="00C160A3" w:rsidRDefault="00C160A3" w:rsidP="00C160A3">
      <w:pPr>
        <w:spacing w:line="276" w:lineRule="auto"/>
        <w:rPr>
          <w:rFonts w:cstheme="minorBidi"/>
          <w:sz w:val="24"/>
          <w:szCs w:val="24"/>
        </w:rPr>
      </w:pPr>
      <w:r w:rsidRPr="00C160A3">
        <w:rPr>
          <w:rFonts w:cstheme="minorBidi"/>
          <w:sz w:val="24"/>
          <w:szCs w:val="24"/>
        </w:rPr>
        <w:t>Beyond challenges associated with central</w:t>
      </w:r>
      <w:r w:rsidRPr="00C160A3">
        <w:rPr>
          <w:rFonts w:ascii="Cambria Math" w:hAnsi="Cambria Math" w:cs="Cambria Math"/>
          <w:sz w:val="24"/>
          <w:szCs w:val="24"/>
        </w:rPr>
        <w:t>‑</w:t>
      </w:r>
      <w:r w:rsidRPr="00C160A3">
        <w:rPr>
          <w:rFonts w:cstheme="minorBidi"/>
          <w:sz w:val="24"/>
          <w:szCs w:val="24"/>
        </w:rPr>
        <w:t>city vibrancy, Wellington businesses face persistent cost pressures that affect viability and growth. High operating costs, a relatively high commercial rates differential, and compliance requirements continue to act as barriers to investment for both new and established businesses. These pressures are compounded by ageing infrastructure and the need for ongoing upgrades, which, while necessary for long</w:t>
      </w:r>
      <w:r w:rsidRPr="00C160A3">
        <w:rPr>
          <w:rFonts w:ascii="Cambria Math" w:hAnsi="Cambria Math" w:cs="Cambria Math"/>
          <w:sz w:val="24"/>
          <w:szCs w:val="24"/>
        </w:rPr>
        <w:t>‑</w:t>
      </w:r>
      <w:r w:rsidRPr="00C160A3">
        <w:rPr>
          <w:rFonts w:cstheme="minorBidi"/>
          <w:sz w:val="24"/>
          <w:szCs w:val="24"/>
        </w:rPr>
        <w:t>term resilience, add further complexity and disruption to the business environment.</w:t>
      </w:r>
    </w:p>
    <w:p w14:paraId="3D772448" w14:textId="77777777" w:rsidR="00C160A3" w:rsidRDefault="00C160A3" w:rsidP="00C160A3">
      <w:pPr>
        <w:spacing w:line="276" w:lineRule="auto"/>
        <w:rPr>
          <w:rFonts w:cstheme="minorBidi"/>
          <w:sz w:val="24"/>
          <w:szCs w:val="24"/>
        </w:rPr>
      </w:pPr>
    </w:p>
    <w:p w14:paraId="24AF4347" w14:textId="532B6715" w:rsidR="00C160A3" w:rsidRPr="00C160A3" w:rsidRDefault="00C160A3" w:rsidP="4667AA84">
      <w:pPr>
        <w:spacing w:line="276" w:lineRule="auto"/>
        <w:rPr>
          <w:rFonts w:cstheme="minorBidi"/>
          <w:sz w:val="24"/>
          <w:szCs w:val="24"/>
        </w:rPr>
      </w:pPr>
      <w:r w:rsidRPr="4667AA84">
        <w:rPr>
          <w:rFonts w:cstheme="minorBidi"/>
          <w:sz w:val="24"/>
          <w:szCs w:val="24"/>
        </w:rPr>
        <w:t>The sustainability of funding for infrastructure and civic improvements presents an additional challenge. Council investment in major projects, including the Tākina Convention Centre and Town Hall restoration, is intended to support economic activity and amenity. However, reliance on ratepayer funding places increasing pressure on affordability and highlights exposure to funding risk, particularly where external contributions are uncertain.</w:t>
      </w:r>
    </w:p>
    <w:p w14:paraId="62FCBE3B" w14:textId="77777777" w:rsidR="00C160A3" w:rsidRDefault="00C160A3" w:rsidP="00C160A3">
      <w:pPr>
        <w:spacing w:line="276" w:lineRule="auto"/>
        <w:rPr>
          <w:rFonts w:cstheme="minorBidi"/>
          <w:sz w:val="24"/>
          <w:szCs w:val="24"/>
        </w:rPr>
      </w:pPr>
    </w:p>
    <w:p w14:paraId="72B4C412" w14:textId="3FDED777" w:rsidR="00C160A3" w:rsidRPr="00C160A3" w:rsidRDefault="00C160A3" w:rsidP="00C160A3">
      <w:pPr>
        <w:spacing w:line="276" w:lineRule="auto"/>
        <w:rPr>
          <w:rFonts w:cstheme="minorBidi"/>
          <w:sz w:val="24"/>
          <w:szCs w:val="24"/>
        </w:rPr>
      </w:pPr>
      <w:r w:rsidRPr="00C160A3">
        <w:rPr>
          <w:rFonts w:cstheme="minorBidi"/>
          <w:sz w:val="24"/>
          <w:szCs w:val="24"/>
        </w:rPr>
        <w:t>Business confidence is also influenced by the quality of Council–business relationships. Feedback from the business community indicates ongoing concern about the perceived value for money of Council interventions and the effectiveness of engagement, particularly during planning and delivery of infrastructure works. Disruption associated with construction activity, combined with limited visibility of benefits, can exacerbate cost pressures and uncertainty for affected businesses.</w:t>
      </w:r>
    </w:p>
    <w:p w14:paraId="09FD9918" w14:textId="77777777" w:rsidR="00C160A3" w:rsidRDefault="00C160A3" w:rsidP="00C160A3">
      <w:pPr>
        <w:spacing w:line="276" w:lineRule="auto"/>
        <w:rPr>
          <w:rFonts w:cstheme="minorBidi"/>
          <w:sz w:val="24"/>
          <w:szCs w:val="24"/>
        </w:rPr>
      </w:pPr>
    </w:p>
    <w:p w14:paraId="0DCCAD91" w14:textId="1EB7BDEB" w:rsidR="00C160A3" w:rsidRPr="00C160A3" w:rsidRDefault="00C160A3" w:rsidP="00C160A3">
      <w:pPr>
        <w:spacing w:line="276" w:lineRule="auto"/>
        <w:rPr>
          <w:rFonts w:cstheme="minorBidi"/>
          <w:sz w:val="24"/>
          <w:szCs w:val="24"/>
        </w:rPr>
      </w:pPr>
      <w:r w:rsidRPr="00C160A3">
        <w:rPr>
          <w:rFonts w:cstheme="minorBidi"/>
          <w:sz w:val="24"/>
          <w:szCs w:val="24"/>
        </w:rPr>
        <w:t>Together, elevated input costs, funding constraints, and relationship challenges contribute to a more difficult operating environment for Wellington businesses, shaping investment decisions, confidence, and the city’s overall economic resilience.</w:t>
      </w:r>
    </w:p>
    <w:p w14:paraId="6C1A942C" w14:textId="31330828" w:rsidR="07CFA289" w:rsidRDefault="07CFA289" w:rsidP="00C160A3">
      <w:pPr>
        <w:pStyle w:val="Heading2"/>
        <w:rPr>
          <w:rFonts w:asciiTheme="minorHAnsi" w:hAnsiTheme="minorHAnsi" w:cstheme="minorBidi"/>
          <w:sz w:val="32"/>
          <w:szCs w:val="32"/>
        </w:rPr>
      </w:pPr>
      <w:bookmarkStart w:id="27" w:name="_Toc223964619"/>
      <w:r w:rsidRPr="3C7EFEEB">
        <w:rPr>
          <w:rFonts w:asciiTheme="minorHAnsi" w:hAnsiTheme="minorHAnsi" w:cstheme="minorBidi"/>
          <w:sz w:val="32"/>
          <w:szCs w:val="32"/>
        </w:rPr>
        <w:t>Building climate resilience, and opportunities for growth through innovation</w:t>
      </w:r>
      <w:bookmarkEnd w:id="27"/>
    </w:p>
    <w:p w14:paraId="0C0021D6" w14:textId="0E18AF32" w:rsidR="07CFA289" w:rsidRDefault="07CFA289" w:rsidP="0370245F">
      <w:pPr>
        <w:pStyle w:val="Body"/>
        <w:spacing w:after="0" w:line="276" w:lineRule="auto"/>
        <w:rPr>
          <w:rFonts w:eastAsia="MS Gothic" w:cstheme="minorBidi"/>
          <w:sz w:val="24"/>
          <w:szCs w:val="24"/>
        </w:rPr>
      </w:pPr>
      <w:r w:rsidRPr="0370245F">
        <w:rPr>
          <w:rFonts w:eastAsia="MS Gothic" w:cstheme="minorBidi"/>
          <w:sz w:val="24"/>
          <w:szCs w:val="24"/>
        </w:rPr>
        <w:t>The city’s economic wellbeing may be affected in the future by both the level of resilience to physical impacts, such as adverse weather events, and by the economic consequences of investing in resilience and recovery from increasingly frequent and intense weather events. Some sectors in Wellington, including universities and the public service, may be better positioned in a low-carbon context due to their lower emissions, while others could encounter challenges if national or international decarbonisation pressures intensify.</w:t>
      </w:r>
    </w:p>
    <w:p w14:paraId="39955431" w14:textId="77777777" w:rsidR="0370245F" w:rsidRDefault="0370245F" w:rsidP="0370245F">
      <w:pPr>
        <w:pStyle w:val="Body"/>
        <w:spacing w:after="0" w:line="276" w:lineRule="auto"/>
        <w:rPr>
          <w:rFonts w:eastAsia="MS Gothic" w:cstheme="minorBidi"/>
          <w:sz w:val="24"/>
          <w:szCs w:val="24"/>
        </w:rPr>
      </w:pPr>
    </w:p>
    <w:p w14:paraId="339EC5C5" w14:textId="77777777" w:rsidR="07CFA289" w:rsidRDefault="07CFA289" w:rsidP="0370245F">
      <w:pPr>
        <w:pStyle w:val="Body"/>
        <w:spacing w:after="0" w:line="276" w:lineRule="auto"/>
        <w:rPr>
          <w:rFonts w:eastAsia="MS Gothic" w:cstheme="minorBidi"/>
          <w:sz w:val="24"/>
          <w:szCs w:val="24"/>
        </w:rPr>
      </w:pPr>
      <w:r w:rsidRPr="0370245F">
        <w:rPr>
          <w:rFonts w:eastAsia="MS Gothic" w:cstheme="minorBidi"/>
          <w:sz w:val="24"/>
          <w:szCs w:val="24"/>
        </w:rPr>
        <w:t>Wellington City Council’s Te Atakura: First to Zero strategy sets a pathway to achieve net zero carbon emissions by 2050, positioning climate action as a central driver of economic transformation and supporting the development of a more innovative, inclusive, and resilient city. Infrastructure upgrades, such as the introduction of low-emission transport systems and energy-efficient urban design, are key components of this transition. These investments are designed to enhance productivity, reduce operational costs, and help ensure the city’s readiness for future challenges. Further information can be found in the Transport and Urban Development background reports.</w:t>
      </w:r>
    </w:p>
    <w:p w14:paraId="6CC5EA74" w14:textId="77777777" w:rsidR="0370245F" w:rsidRDefault="0370245F" w:rsidP="0370245F">
      <w:pPr>
        <w:pStyle w:val="Body"/>
        <w:spacing w:after="0" w:line="276" w:lineRule="auto"/>
        <w:rPr>
          <w:rFonts w:eastAsia="MS Gothic" w:cstheme="minorBidi"/>
          <w:sz w:val="24"/>
          <w:szCs w:val="24"/>
        </w:rPr>
      </w:pPr>
    </w:p>
    <w:p w14:paraId="2EDBDA59" w14:textId="26FA107C" w:rsidR="07CFA289" w:rsidRDefault="07CFA289" w:rsidP="0370245F">
      <w:pPr>
        <w:pStyle w:val="Body"/>
        <w:spacing w:after="0" w:line="276" w:lineRule="auto"/>
        <w:rPr>
          <w:rFonts w:eastAsia="MS Gothic" w:cstheme="minorBidi"/>
          <w:sz w:val="24"/>
          <w:szCs w:val="24"/>
        </w:rPr>
      </w:pPr>
      <w:r w:rsidRPr="0370245F">
        <w:rPr>
          <w:rFonts w:eastAsia="MS Gothic" w:cstheme="minorBidi"/>
          <w:sz w:val="24"/>
          <w:szCs w:val="24"/>
        </w:rPr>
        <w:t xml:space="preserve">The Council’s support for climate-focused initiatives, including the Te Atakura implementation plan and the establishment of resource recovery facilities, enables businesses to take a leading role in sustainability efforts. This approach encourages sustainable investment and attracts talent, enhancing Wellington’s profile as a climate-forward city. </w:t>
      </w:r>
      <w:r w:rsidR="4DB64104" w:rsidRPr="68952F3F">
        <w:rPr>
          <w:rFonts w:eastAsia="MS Gothic" w:cstheme="minorBidi"/>
          <w:sz w:val="24"/>
          <w:szCs w:val="24"/>
        </w:rPr>
        <w:t xml:space="preserve">New market </w:t>
      </w:r>
      <w:r w:rsidR="5CA219C6" w:rsidRPr="68952F3F">
        <w:rPr>
          <w:rFonts w:eastAsia="MS Gothic" w:cstheme="minorBidi"/>
          <w:sz w:val="24"/>
          <w:szCs w:val="24"/>
        </w:rPr>
        <w:t xml:space="preserve">development </w:t>
      </w:r>
      <w:r w:rsidR="1221FA98" w:rsidRPr="68952F3F">
        <w:rPr>
          <w:rFonts w:eastAsia="MS Gothic" w:cstheme="minorBidi"/>
          <w:sz w:val="24"/>
          <w:szCs w:val="24"/>
        </w:rPr>
        <w:t>i</w:t>
      </w:r>
      <w:r w:rsidR="6EB1109F" w:rsidRPr="68952F3F">
        <w:rPr>
          <w:rFonts w:eastAsia="MS Gothic" w:cstheme="minorBidi"/>
          <w:sz w:val="24"/>
          <w:szCs w:val="24"/>
        </w:rPr>
        <w:t>nitiatives</w:t>
      </w:r>
      <w:r w:rsidRPr="0370245F">
        <w:rPr>
          <w:rFonts w:eastAsia="MS Gothic" w:cstheme="minorBidi"/>
          <w:sz w:val="24"/>
          <w:szCs w:val="24"/>
        </w:rPr>
        <w:t xml:space="preserve"> such as increased use of renewable resources, waste reduction, and solutions like the degasification of public swimming pools demonstrate environmental leadership and contribute to Wellington’s international standing, support for eco-tourism, and alignment with broader regional economic strategies.</w:t>
      </w:r>
    </w:p>
    <w:p w14:paraId="1F99B630" w14:textId="77777777" w:rsidR="0370245F" w:rsidRDefault="0370245F" w:rsidP="0370245F">
      <w:pPr>
        <w:pStyle w:val="Body"/>
        <w:spacing w:after="0" w:line="276" w:lineRule="auto"/>
        <w:rPr>
          <w:rFonts w:eastAsia="MS Gothic" w:cstheme="minorBidi"/>
          <w:sz w:val="24"/>
          <w:szCs w:val="24"/>
        </w:rPr>
      </w:pPr>
    </w:p>
    <w:p w14:paraId="13F678AD" w14:textId="354D7673" w:rsidR="07CFA289" w:rsidRDefault="07CFA289" w:rsidP="58518799">
      <w:pPr>
        <w:pStyle w:val="Body"/>
        <w:spacing w:after="0" w:line="276" w:lineRule="auto"/>
        <w:rPr>
          <w:rFonts w:eastAsia="MS Gothic" w:cstheme="minorBidi"/>
          <w:sz w:val="24"/>
          <w:szCs w:val="24"/>
        </w:rPr>
      </w:pPr>
      <w:r w:rsidRPr="0370245F">
        <w:rPr>
          <w:rFonts w:eastAsia="MS Gothic" w:cstheme="minorBidi"/>
          <w:sz w:val="24"/>
          <w:szCs w:val="24"/>
        </w:rPr>
        <w:t xml:space="preserve">Despite these initiatives, Wellington continues to face significant risks from natural hazards, climate change, and rising costs, which necessitate ongoing and accelerated planning and investment. Without comprehensive resilience measures, there is potential for adverse impacts on infrastructure and investor confidence. </w:t>
      </w:r>
    </w:p>
    <w:p w14:paraId="585BB17A" w14:textId="26215737" w:rsidR="07CFA289" w:rsidRDefault="07CFA289" w:rsidP="58518799">
      <w:pPr>
        <w:pStyle w:val="Body"/>
        <w:spacing w:after="0" w:line="276" w:lineRule="auto"/>
        <w:rPr>
          <w:rFonts w:eastAsia="MS Gothic" w:cstheme="minorBidi"/>
          <w:sz w:val="24"/>
          <w:szCs w:val="24"/>
        </w:rPr>
      </w:pPr>
    </w:p>
    <w:p w14:paraId="2117F292" w14:textId="4714B33E" w:rsidR="07CFA289" w:rsidRDefault="07CFA289" w:rsidP="0370245F">
      <w:pPr>
        <w:pStyle w:val="Body"/>
        <w:spacing w:after="0" w:line="276" w:lineRule="auto"/>
        <w:rPr>
          <w:rFonts w:eastAsia="MS Gothic" w:cstheme="minorBidi"/>
          <w:sz w:val="24"/>
          <w:szCs w:val="24"/>
        </w:rPr>
      </w:pPr>
      <w:r w:rsidRPr="0370245F">
        <w:rPr>
          <w:rFonts w:eastAsia="MS Gothic" w:cstheme="minorBidi"/>
          <w:sz w:val="24"/>
          <w:szCs w:val="24"/>
        </w:rPr>
        <w:t xml:space="preserve">Nevertheless, by reducing emissions from its own operations and strengthening the resilience of Council assets, the Council supports a city-wide shift toward a low-carbon and future-ready economy. These actions are complemented by targeted grants and collaborative opportunities for communities and mana whenua partners, which help to enhance economic participation and overall resilience. Addressing climate </w:t>
      </w:r>
      <w:r w:rsidR="69C1F337" w:rsidRPr="68952F3F">
        <w:rPr>
          <w:rFonts w:eastAsia="MS Gothic" w:cstheme="minorBidi"/>
          <w:sz w:val="24"/>
          <w:szCs w:val="24"/>
        </w:rPr>
        <w:t>change</w:t>
      </w:r>
      <w:r w:rsidRPr="0370245F">
        <w:rPr>
          <w:rFonts w:eastAsia="MS Gothic" w:cstheme="minorBidi"/>
          <w:sz w:val="24"/>
          <w:szCs w:val="24"/>
        </w:rPr>
        <w:t xml:space="preserve"> </w:t>
      </w:r>
      <w:r w:rsidR="3525C886" w:rsidRPr="58518799">
        <w:rPr>
          <w:rFonts w:eastAsia="MS Gothic" w:cstheme="minorBidi"/>
          <w:sz w:val="24"/>
          <w:szCs w:val="24"/>
        </w:rPr>
        <w:t xml:space="preserve">is important </w:t>
      </w:r>
      <w:r w:rsidR="752B3620" w:rsidRPr="68952F3F">
        <w:rPr>
          <w:rFonts w:eastAsia="MS Gothic" w:cstheme="minorBidi"/>
          <w:sz w:val="24"/>
          <w:szCs w:val="24"/>
        </w:rPr>
        <w:t>for</w:t>
      </w:r>
      <w:r w:rsidRPr="0370245F">
        <w:rPr>
          <w:rFonts w:eastAsia="MS Gothic" w:cstheme="minorBidi"/>
          <w:sz w:val="24"/>
          <w:szCs w:val="24"/>
        </w:rPr>
        <w:t xml:space="preserve"> economic stability, given its intersection with equity, housing, and social wellbeing, and </w:t>
      </w:r>
      <w:r w:rsidR="3D170345" w:rsidRPr="58518799">
        <w:rPr>
          <w:rFonts w:eastAsia="MS Gothic" w:cstheme="minorBidi"/>
          <w:sz w:val="24"/>
          <w:szCs w:val="24"/>
        </w:rPr>
        <w:t xml:space="preserve">it </w:t>
      </w:r>
      <w:r w:rsidRPr="0370245F">
        <w:rPr>
          <w:rFonts w:eastAsia="MS Gothic" w:cstheme="minorBidi"/>
          <w:sz w:val="24"/>
          <w:szCs w:val="24"/>
        </w:rPr>
        <w:t>is integral to Wellington’s capacity to adapt and support inclusive, sustainable economic growth.</w:t>
      </w:r>
    </w:p>
    <w:p w14:paraId="711C836A" w14:textId="6BFD58D3" w:rsidR="00121ED8" w:rsidRPr="00350C4A" w:rsidRDefault="00287BC3" w:rsidP="68952F3F">
      <w:pPr>
        <w:pStyle w:val="Heading2"/>
        <w:spacing w:after="0" w:line="276" w:lineRule="auto"/>
        <w:rPr>
          <w:rFonts w:asciiTheme="minorHAnsi" w:hAnsiTheme="minorHAnsi" w:cstheme="minorBidi"/>
          <w:sz w:val="32"/>
          <w:szCs w:val="32"/>
        </w:rPr>
      </w:pPr>
      <w:bookmarkStart w:id="28" w:name="_Toc223964620"/>
      <w:r w:rsidRPr="3C7EFEEB">
        <w:rPr>
          <w:rFonts w:asciiTheme="minorHAnsi" w:hAnsiTheme="minorHAnsi" w:cstheme="minorBidi"/>
          <w:sz w:val="32"/>
          <w:szCs w:val="32"/>
        </w:rPr>
        <w:t>Opportunities for i</w:t>
      </w:r>
      <w:r w:rsidR="002D709D" w:rsidRPr="3C7EFEEB">
        <w:rPr>
          <w:rFonts w:asciiTheme="minorHAnsi" w:hAnsiTheme="minorHAnsi" w:cstheme="minorBidi"/>
          <w:sz w:val="32"/>
          <w:szCs w:val="32"/>
        </w:rPr>
        <w:t>nclusive growth through e</w:t>
      </w:r>
      <w:r w:rsidR="00121ED8" w:rsidRPr="3C7EFEEB">
        <w:rPr>
          <w:rFonts w:asciiTheme="minorHAnsi" w:hAnsiTheme="minorHAnsi" w:cstheme="minorBidi"/>
          <w:sz w:val="32"/>
          <w:szCs w:val="32"/>
        </w:rPr>
        <w:t>quity</w:t>
      </w:r>
      <w:r w:rsidR="002D709D" w:rsidRPr="3C7EFEEB">
        <w:rPr>
          <w:rFonts w:asciiTheme="minorHAnsi" w:hAnsiTheme="minorHAnsi" w:cstheme="minorBidi"/>
          <w:sz w:val="32"/>
          <w:szCs w:val="32"/>
        </w:rPr>
        <w:t xml:space="preserve"> </w:t>
      </w:r>
      <w:r w:rsidR="00121ED8" w:rsidRPr="3C7EFEEB">
        <w:rPr>
          <w:rFonts w:asciiTheme="minorHAnsi" w:hAnsiTheme="minorHAnsi" w:cstheme="minorBidi"/>
          <w:sz w:val="32"/>
          <w:szCs w:val="32"/>
        </w:rPr>
        <w:t xml:space="preserve">and </w:t>
      </w:r>
      <w:r w:rsidR="002D709D" w:rsidRPr="3C7EFEEB">
        <w:rPr>
          <w:rFonts w:asciiTheme="minorHAnsi" w:hAnsiTheme="minorHAnsi" w:cstheme="minorBidi"/>
          <w:sz w:val="32"/>
          <w:szCs w:val="32"/>
        </w:rPr>
        <w:t>d</w:t>
      </w:r>
      <w:r w:rsidR="00121ED8" w:rsidRPr="3C7EFEEB">
        <w:rPr>
          <w:rFonts w:asciiTheme="minorHAnsi" w:hAnsiTheme="minorHAnsi" w:cstheme="minorBidi"/>
          <w:sz w:val="32"/>
          <w:szCs w:val="32"/>
        </w:rPr>
        <w:t xml:space="preserve">iverse </w:t>
      </w:r>
      <w:r w:rsidR="002D709D" w:rsidRPr="3C7EFEEB">
        <w:rPr>
          <w:rFonts w:asciiTheme="minorHAnsi" w:hAnsiTheme="minorHAnsi" w:cstheme="minorBidi"/>
          <w:sz w:val="32"/>
          <w:szCs w:val="32"/>
        </w:rPr>
        <w:t>e</w:t>
      </w:r>
      <w:r w:rsidR="00121ED8" w:rsidRPr="3C7EFEEB">
        <w:rPr>
          <w:rFonts w:asciiTheme="minorHAnsi" w:hAnsiTheme="minorHAnsi" w:cstheme="minorBidi"/>
          <w:sz w:val="32"/>
          <w:szCs w:val="32"/>
        </w:rPr>
        <w:t xml:space="preserve">conomic </w:t>
      </w:r>
      <w:r w:rsidR="002D709D" w:rsidRPr="3C7EFEEB">
        <w:rPr>
          <w:rFonts w:asciiTheme="minorHAnsi" w:hAnsiTheme="minorHAnsi" w:cstheme="minorBidi"/>
          <w:sz w:val="32"/>
          <w:szCs w:val="32"/>
        </w:rPr>
        <w:t>p</w:t>
      </w:r>
      <w:r w:rsidR="00121ED8" w:rsidRPr="3C7EFEEB">
        <w:rPr>
          <w:rFonts w:asciiTheme="minorHAnsi" w:hAnsiTheme="minorHAnsi" w:cstheme="minorBidi"/>
          <w:sz w:val="32"/>
          <w:szCs w:val="32"/>
        </w:rPr>
        <w:t>articipation</w:t>
      </w:r>
      <w:bookmarkEnd w:id="28"/>
    </w:p>
    <w:p w14:paraId="183A8083" w14:textId="66EA868B" w:rsidR="00B14E02" w:rsidRPr="00E6041E" w:rsidRDefault="00B14E02" w:rsidP="00350C4A">
      <w:pPr>
        <w:pStyle w:val="Body"/>
        <w:spacing w:after="0" w:line="276" w:lineRule="auto"/>
        <w:rPr>
          <w:rFonts w:eastAsia="MS Gothic" w:cstheme="minorBidi"/>
          <w:sz w:val="24"/>
          <w:szCs w:val="24"/>
        </w:rPr>
      </w:pPr>
      <w:r w:rsidRPr="68952F3F">
        <w:rPr>
          <w:rFonts w:cstheme="minorBidi"/>
          <w:sz w:val="24"/>
          <w:szCs w:val="24"/>
        </w:rPr>
        <w:t xml:space="preserve">Feedback shows that engagement with diverse communities is inconsistent, particularly for those experiencing economic disadvantage. </w:t>
      </w:r>
      <w:r w:rsidR="0A867CD5" w:rsidRPr="68952F3F">
        <w:rPr>
          <w:rFonts w:cstheme="minorBidi"/>
          <w:sz w:val="24"/>
          <w:szCs w:val="24"/>
        </w:rPr>
        <w:t xml:space="preserve">Barriers such as </w:t>
      </w:r>
      <w:r w:rsidR="7C632D64" w:rsidRPr="68952F3F">
        <w:rPr>
          <w:rFonts w:cstheme="minorBidi"/>
          <w:sz w:val="24"/>
          <w:szCs w:val="24"/>
        </w:rPr>
        <w:t xml:space="preserve">capital access, </w:t>
      </w:r>
      <w:r w:rsidR="50479788" w:rsidRPr="68952F3F">
        <w:rPr>
          <w:rFonts w:cstheme="minorBidi"/>
          <w:sz w:val="24"/>
          <w:szCs w:val="24"/>
        </w:rPr>
        <w:t>l</w:t>
      </w:r>
      <w:r w:rsidR="1E7AC986" w:rsidRPr="68952F3F">
        <w:rPr>
          <w:rFonts w:cstheme="minorBidi"/>
          <w:sz w:val="24"/>
          <w:szCs w:val="24"/>
        </w:rPr>
        <w:t>imited</w:t>
      </w:r>
      <w:r w:rsidRPr="68952F3F">
        <w:rPr>
          <w:rFonts w:cstheme="minorBidi"/>
          <w:sz w:val="24"/>
          <w:szCs w:val="24"/>
        </w:rPr>
        <w:t xml:space="preserve"> networks and </w:t>
      </w:r>
      <w:r w:rsidR="1D5C27A2" w:rsidRPr="68952F3F">
        <w:rPr>
          <w:rFonts w:cstheme="minorBidi"/>
          <w:sz w:val="24"/>
          <w:szCs w:val="24"/>
        </w:rPr>
        <w:t>accessibility constraints</w:t>
      </w:r>
      <w:r w:rsidRPr="68952F3F">
        <w:rPr>
          <w:rFonts w:cstheme="minorBidi"/>
          <w:sz w:val="24"/>
          <w:szCs w:val="24"/>
        </w:rPr>
        <w:t xml:space="preserve"> risk reinforcing exclusion and reducing economic vibrancy. Realising Wellington’s potential will require deeper more regular engagement</w:t>
      </w:r>
      <w:r w:rsidR="007C39AE" w:rsidRPr="68952F3F">
        <w:rPr>
          <w:rFonts w:cstheme="minorBidi"/>
          <w:sz w:val="24"/>
          <w:szCs w:val="24"/>
        </w:rPr>
        <w:t>,</w:t>
      </w:r>
      <w:r w:rsidRPr="68952F3F">
        <w:rPr>
          <w:rFonts w:cstheme="minorBidi"/>
          <w:sz w:val="24"/>
          <w:szCs w:val="24"/>
        </w:rPr>
        <w:t xml:space="preserve"> with a broad range of residents and organisations, to ensure that the city’s growing diversity is genuinely reflected in the city’s economic landscape.</w:t>
      </w:r>
    </w:p>
    <w:p w14:paraId="4BFFA43C" w14:textId="77777777" w:rsidR="00350C4A" w:rsidRDefault="00350C4A" w:rsidP="00350C4A">
      <w:pPr>
        <w:pStyle w:val="Body"/>
        <w:spacing w:after="0" w:line="276" w:lineRule="auto"/>
        <w:rPr>
          <w:rFonts w:eastAsia="MS Gothic" w:cstheme="minorHAnsi"/>
          <w:sz w:val="24"/>
          <w:szCs w:val="24"/>
        </w:rPr>
      </w:pPr>
    </w:p>
    <w:p w14:paraId="1B80562C" w14:textId="77777777" w:rsidR="0029719F" w:rsidRPr="00E6041E" w:rsidRDefault="0029719F" w:rsidP="00350C4A">
      <w:pPr>
        <w:pStyle w:val="Body"/>
        <w:spacing w:after="0" w:line="276" w:lineRule="auto"/>
        <w:rPr>
          <w:rFonts w:eastAsia="MS Gothic" w:cstheme="minorHAnsi"/>
          <w:sz w:val="24"/>
          <w:szCs w:val="24"/>
        </w:rPr>
      </w:pPr>
      <w:r w:rsidRPr="00E6041E">
        <w:rPr>
          <w:rFonts w:eastAsia="MS Gothic" w:cstheme="minorHAnsi"/>
          <w:sz w:val="24"/>
          <w:szCs w:val="24"/>
        </w:rPr>
        <w:t>The Council demonstrates its commitment to diversification of the city’s economic growth by providing business growth support, primarily through WellingtonNZ, to small local businesses, particularly those led by women, Māori, and LGBTQ+ entrepreneurs.</w:t>
      </w:r>
    </w:p>
    <w:p w14:paraId="247197CF" w14:textId="52CF5195" w:rsidR="00287BC3" w:rsidRPr="00350C4A" w:rsidRDefault="00D97CF4" w:rsidP="3C7EFEEB">
      <w:pPr>
        <w:pStyle w:val="Heading3"/>
        <w:rPr>
          <w:rFonts w:asciiTheme="minorHAnsi" w:hAnsiTheme="minorHAnsi" w:cstheme="minorBidi"/>
          <w:sz w:val="24"/>
          <w:szCs w:val="24"/>
        </w:rPr>
      </w:pPr>
      <w:bookmarkStart w:id="29" w:name="_Toc223964621"/>
      <w:r w:rsidRPr="3C7EFEEB">
        <w:rPr>
          <w:rFonts w:asciiTheme="minorHAnsi" w:hAnsiTheme="minorHAnsi" w:cstheme="minorBidi"/>
          <w:sz w:val="24"/>
          <w:szCs w:val="24"/>
        </w:rPr>
        <w:t>Māori economy</w:t>
      </w:r>
      <w:bookmarkEnd w:id="29"/>
    </w:p>
    <w:p w14:paraId="418E9CA4" w14:textId="42A83E30" w:rsidR="001760FD" w:rsidRDefault="007C6ECC" w:rsidP="00350C4A">
      <w:pPr>
        <w:pStyle w:val="Body"/>
        <w:spacing w:after="0" w:line="276" w:lineRule="auto"/>
        <w:rPr>
          <w:rFonts w:eastAsia="MS Gothic" w:cstheme="minorHAnsi"/>
          <w:sz w:val="24"/>
          <w:szCs w:val="24"/>
        </w:rPr>
      </w:pPr>
      <w:r w:rsidRPr="00E6041E">
        <w:rPr>
          <w:rFonts w:eastAsia="MS Gothic" w:cstheme="minorHAnsi"/>
          <w:sz w:val="24"/>
          <w:szCs w:val="24"/>
        </w:rPr>
        <w:t xml:space="preserve">Māori economic development is a key enabler in the Wellington Regional Economic Development Plan. The Council, through WellingtonNZ, works with strategic partnerships such as Te Matarau a Māui and the Te </w:t>
      </w:r>
      <w:proofErr w:type="spellStart"/>
      <w:r w:rsidRPr="00E6041E">
        <w:rPr>
          <w:rFonts w:eastAsia="MS Gothic" w:cstheme="minorHAnsi"/>
          <w:sz w:val="24"/>
          <w:szCs w:val="24"/>
        </w:rPr>
        <w:t>Upoko</w:t>
      </w:r>
      <w:proofErr w:type="spellEnd"/>
      <w:r w:rsidRPr="00E6041E">
        <w:rPr>
          <w:rFonts w:eastAsia="MS Gothic" w:cstheme="minorHAnsi"/>
          <w:sz w:val="24"/>
          <w:szCs w:val="24"/>
        </w:rPr>
        <w:t xml:space="preserve"> o Te Ika a Māui Accord to grow Māori businesses, enhance procurement capability, and foster Māori leadership. Initiatives include tourism, screen sector projects, and skills development, supported by a dedicated Māori Business Growth Manager. Social procurement practices aim to increase supplier diversity and strengthen inclusive economic participation. </w:t>
      </w:r>
      <w:r w:rsidR="00EC10C1" w:rsidRPr="00E6041E">
        <w:rPr>
          <w:rFonts w:eastAsia="MS Gothic" w:cstheme="minorHAnsi"/>
          <w:sz w:val="24"/>
          <w:szCs w:val="24"/>
        </w:rPr>
        <w:t xml:space="preserve">For example, Māori-specific projects are supported across tourism, screen, and skills development, including augmented reality storytelling and the UNESCO City of Film programme. </w:t>
      </w:r>
      <w:r w:rsidRPr="00E6041E">
        <w:rPr>
          <w:rFonts w:eastAsia="MS Gothic" w:cstheme="minorHAnsi"/>
          <w:sz w:val="24"/>
          <w:szCs w:val="24"/>
        </w:rPr>
        <w:t xml:space="preserve">However, challenges remain around visibility, consistent engagement with </w:t>
      </w:r>
      <w:r w:rsidR="000D76FC">
        <w:rPr>
          <w:rFonts w:eastAsia="MS Gothic" w:cstheme="minorHAnsi"/>
          <w:sz w:val="24"/>
          <w:szCs w:val="24"/>
        </w:rPr>
        <w:t>Tākai Here partners</w:t>
      </w:r>
      <w:r w:rsidRPr="00E6041E">
        <w:rPr>
          <w:rFonts w:eastAsia="MS Gothic" w:cstheme="minorHAnsi"/>
          <w:sz w:val="24"/>
          <w:szCs w:val="24"/>
        </w:rPr>
        <w:t>, and the lack of comprehensive Māori-specific data to inform targeted interventions.</w:t>
      </w:r>
    </w:p>
    <w:p w14:paraId="7A241382" w14:textId="77777777" w:rsidR="00F74334" w:rsidRPr="00E6041E" w:rsidRDefault="00F74334" w:rsidP="00350C4A">
      <w:pPr>
        <w:pStyle w:val="Body"/>
        <w:spacing w:after="0" w:line="276" w:lineRule="auto"/>
        <w:rPr>
          <w:rFonts w:eastAsia="MS Gothic" w:cstheme="minorHAnsi"/>
          <w:sz w:val="24"/>
          <w:szCs w:val="24"/>
        </w:rPr>
      </w:pPr>
    </w:p>
    <w:p w14:paraId="5B683323" w14:textId="75DC4E97" w:rsidR="00FD1634" w:rsidRPr="00E6041E" w:rsidRDefault="00FD1634" w:rsidP="00350C4A">
      <w:pPr>
        <w:pStyle w:val="Body"/>
        <w:spacing w:after="0" w:line="276" w:lineRule="auto"/>
        <w:rPr>
          <w:rFonts w:eastAsia="MS Gothic" w:cstheme="minorHAnsi"/>
          <w:sz w:val="24"/>
          <w:szCs w:val="24"/>
        </w:rPr>
      </w:pPr>
      <w:r w:rsidRPr="00E6041E">
        <w:rPr>
          <w:rFonts w:eastAsia="MS Gothic" w:cstheme="minorHAnsi"/>
          <w:sz w:val="24"/>
          <w:szCs w:val="24"/>
        </w:rPr>
        <w:t xml:space="preserve">The implications of not fully embedding </w:t>
      </w:r>
      <w:r w:rsidR="00FB45A6">
        <w:rPr>
          <w:rFonts w:eastAsia="MS Gothic" w:cstheme="minorHAnsi"/>
          <w:sz w:val="24"/>
          <w:szCs w:val="24"/>
        </w:rPr>
        <w:t>t</w:t>
      </w:r>
      <w:r w:rsidRPr="00E6041E">
        <w:rPr>
          <w:rFonts w:eastAsia="MS Gothic" w:cstheme="minorHAnsi"/>
          <w:sz w:val="24"/>
          <w:szCs w:val="24"/>
        </w:rPr>
        <w:t xml:space="preserve">e ao Māori and inclusive practices include perpetuating existing inequities and not realising the full potential of Wellington’s diverse communities. Opportunities to address these challenges include strengthening partnerships with </w:t>
      </w:r>
      <w:r w:rsidR="0092300A">
        <w:rPr>
          <w:rFonts w:eastAsia="MS Gothic" w:cstheme="minorHAnsi"/>
          <w:sz w:val="24"/>
          <w:szCs w:val="24"/>
        </w:rPr>
        <w:t>Tākai Here partners</w:t>
      </w:r>
      <w:r w:rsidRPr="00E6041E">
        <w:rPr>
          <w:rFonts w:eastAsia="MS Gothic" w:cstheme="minorHAnsi"/>
          <w:sz w:val="24"/>
          <w:szCs w:val="24"/>
        </w:rPr>
        <w:t>, investing in entrepreneurship initiatives focused on rangatahi, and enhancing data collection efforts to more effectively measure and demonstrate impact.</w:t>
      </w:r>
    </w:p>
    <w:p w14:paraId="29E00860" w14:textId="125B9356" w:rsidR="001760FD" w:rsidRPr="00350C4A" w:rsidRDefault="00EB4293" w:rsidP="3C7EFEEB">
      <w:pPr>
        <w:pStyle w:val="Heading3"/>
        <w:rPr>
          <w:rFonts w:asciiTheme="minorHAnsi" w:hAnsiTheme="minorHAnsi" w:cstheme="minorBidi"/>
          <w:sz w:val="24"/>
          <w:szCs w:val="24"/>
        </w:rPr>
      </w:pPr>
      <w:bookmarkStart w:id="30" w:name="_Toc223964622"/>
      <w:r w:rsidRPr="3C7EFEEB">
        <w:rPr>
          <w:rFonts w:asciiTheme="minorHAnsi" w:hAnsiTheme="minorHAnsi" w:cstheme="minorBidi"/>
          <w:sz w:val="24"/>
          <w:szCs w:val="24"/>
        </w:rPr>
        <w:t>Access to employment for the disable</w:t>
      </w:r>
      <w:r w:rsidR="00FD1634" w:rsidRPr="3C7EFEEB">
        <w:rPr>
          <w:rFonts w:asciiTheme="minorHAnsi" w:hAnsiTheme="minorHAnsi" w:cstheme="minorBidi"/>
          <w:sz w:val="24"/>
          <w:szCs w:val="24"/>
        </w:rPr>
        <w:t>d</w:t>
      </w:r>
      <w:r w:rsidRPr="3C7EFEEB">
        <w:rPr>
          <w:rFonts w:asciiTheme="minorHAnsi" w:hAnsiTheme="minorHAnsi" w:cstheme="minorBidi"/>
          <w:sz w:val="24"/>
          <w:szCs w:val="24"/>
        </w:rPr>
        <w:t xml:space="preserve"> and elderly communities</w:t>
      </w:r>
      <w:bookmarkEnd w:id="30"/>
    </w:p>
    <w:p w14:paraId="77CC9496" w14:textId="22FD520D" w:rsidR="0029719F" w:rsidRPr="00E6041E" w:rsidRDefault="00A12A87" w:rsidP="00350C4A">
      <w:pPr>
        <w:pStyle w:val="Body"/>
        <w:spacing w:after="0" w:line="276" w:lineRule="auto"/>
        <w:rPr>
          <w:rFonts w:cstheme="minorHAnsi"/>
          <w:sz w:val="24"/>
          <w:szCs w:val="24"/>
        </w:rPr>
      </w:pPr>
      <w:r w:rsidRPr="00E6041E">
        <w:rPr>
          <w:rFonts w:cstheme="minorHAnsi"/>
          <w:sz w:val="24"/>
          <w:szCs w:val="24"/>
        </w:rPr>
        <w:t>Disabled and older residents face persistent barriers to participating in Wellington’s workforce. Physical inaccessibility, poor information access, and limited consultation create environments that do not fully support inclusion. These challenges are compounded by transport and mobility issues, such as inconsistent pedestrian access and limited mobility parking. Without addressing these barriers, equitable participation in economic life remains restricted.</w:t>
      </w:r>
    </w:p>
    <w:p w14:paraId="54660A01" w14:textId="77777777" w:rsidR="00350C4A" w:rsidRDefault="00350C4A" w:rsidP="00350C4A">
      <w:pPr>
        <w:pStyle w:val="Body"/>
        <w:spacing w:after="0" w:line="276" w:lineRule="auto"/>
        <w:rPr>
          <w:rFonts w:cstheme="minorHAnsi"/>
          <w:sz w:val="24"/>
          <w:szCs w:val="24"/>
        </w:rPr>
      </w:pPr>
    </w:p>
    <w:p w14:paraId="4B673CC2" w14:textId="41AB9439" w:rsidR="00121ED8" w:rsidRPr="00E6041E" w:rsidRDefault="3DF4384D" w:rsidP="00350C4A">
      <w:pPr>
        <w:pStyle w:val="Body"/>
        <w:spacing w:after="0" w:line="276" w:lineRule="auto"/>
        <w:rPr>
          <w:rFonts w:eastAsia="MS Gothic"/>
        </w:rPr>
      </w:pPr>
      <w:r w:rsidRPr="0370245F">
        <w:rPr>
          <w:rFonts w:cstheme="minorBidi"/>
          <w:sz w:val="24"/>
          <w:szCs w:val="24"/>
        </w:rPr>
        <w:t>The Council is investing</w:t>
      </w:r>
      <w:r w:rsidRPr="0370245F">
        <w:rPr>
          <w:rFonts w:eastAsia="MS Gothic" w:cstheme="minorBidi"/>
          <w:sz w:val="24"/>
          <w:szCs w:val="24"/>
        </w:rPr>
        <w:t xml:space="preserve"> in </w:t>
      </w:r>
      <w:r w:rsidR="29B42B4E" w:rsidRPr="0370245F">
        <w:rPr>
          <w:rFonts w:eastAsia="MS Gothic" w:cstheme="minorBidi"/>
          <w:sz w:val="24"/>
          <w:szCs w:val="24"/>
        </w:rPr>
        <w:t xml:space="preserve">urban design and public spaces, </w:t>
      </w:r>
      <w:r w:rsidRPr="0370245F">
        <w:rPr>
          <w:rFonts w:eastAsia="MS Gothic" w:cstheme="minorBidi"/>
          <w:sz w:val="24"/>
          <w:szCs w:val="24"/>
        </w:rPr>
        <w:t>but further work in a</w:t>
      </w:r>
      <w:r w:rsidR="29B42B4E" w:rsidRPr="0370245F">
        <w:rPr>
          <w:rFonts w:eastAsia="MS Gothic" w:cstheme="minorBidi"/>
          <w:sz w:val="24"/>
          <w:szCs w:val="24"/>
        </w:rPr>
        <w:t>ddressing these barriers through universal design, and inclusive planning is essential for enabling all residents to access and contribute to the city’s economic growth.</w:t>
      </w:r>
      <w:r w:rsidR="605444F1" w:rsidRPr="0370245F">
        <w:rPr>
          <w:rFonts w:eastAsia="MS Gothic" w:cstheme="minorBidi"/>
          <w:sz w:val="24"/>
          <w:szCs w:val="24"/>
        </w:rPr>
        <w:t xml:space="preserve"> </w:t>
      </w:r>
      <w:r w:rsidR="29B42B4E" w:rsidRPr="0370245F">
        <w:rPr>
          <w:rFonts w:eastAsia="MS Gothic" w:cstheme="minorBidi"/>
          <w:sz w:val="24"/>
          <w:szCs w:val="24"/>
        </w:rPr>
        <w:t>By making information, services, and facilities accessible, the Council supports disabled people, older residents, and others with access needs to engage fully in civic and economic life, whether as business owners, employees, or consumers. However, progress remains uneven, and there is a recognised need for stronger leadership, dedicated resources, and visible, practical commitments to embed accessibility as a core driver of equity and economic inclusion across the city.</w:t>
      </w:r>
    </w:p>
    <w:p w14:paraId="46C9F890" w14:textId="3E76F73E" w:rsidR="009D5079" w:rsidRPr="00350C4A" w:rsidRDefault="01C271B1" w:rsidP="3C7EFEEB">
      <w:pPr>
        <w:pStyle w:val="Heading2"/>
        <w:rPr>
          <w:rFonts w:asciiTheme="minorHAnsi" w:hAnsiTheme="minorHAnsi" w:cstheme="minorBidi"/>
          <w:sz w:val="32"/>
          <w:szCs w:val="32"/>
        </w:rPr>
      </w:pPr>
      <w:bookmarkStart w:id="31" w:name="_Toc223964623"/>
      <w:r w:rsidRPr="3C7EFEEB">
        <w:rPr>
          <w:rFonts w:asciiTheme="minorHAnsi" w:hAnsiTheme="minorHAnsi" w:cstheme="minorBidi"/>
          <w:sz w:val="32"/>
          <w:szCs w:val="32"/>
        </w:rPr>
        <w:t>Role clarity and co-ordination required to improve effectiveness of economic development</w:t>
      </w:r>
      <w:bookmarkEnd w:id="31"/>
    </w:p>
    <w:p w14:paraId="4D518BFF" w14:textId="49757E08" w:rsidR="009D5079" w:rsidRPr="00E6041E" w:rsidRDefault="01C271B1" w:rsidP="00350C4A">
      <w:pPr>
        <w:pStyle w:val="Body"/>
        <w:spacing w:after="0" w:line="276" w:lineRule="auto"/>
        <w:rPr>
          <w:rFonts w:cstheme="minorBidi"/>
          <w:sz w:val="24"/>
          <w:szCs w:val="24"/>
        </w:rPr>
      </w:pPr>
      <w:r w:rsidRPr="68952F3F">
        <w:rPr>
          <w:rFonts w:cstheme="minorBidi"/>
          <w:sz w:val="24"/>
          <w:szCs w:val="24"/>
        </w:rPr>
        <w:t>Wellington’s economic development is constrained by fragmented coordination and unclear roles across Council, central government, and stakeholders. For example, the Tākina Operational Model and Governance Review</w:t>
      </w:r>
      <w:r w:rsidR="00B5472C" w:rsidRPr="68952F3F">
        <w:rPr>
          <w:rStyle w:val="FootnoteReference"/>
          <w:rFonts w:cstheme="minorBidi"/>
          <w:sz w:val="24"/>
          <w:szCs w:val="24"/>
        </w:rPr>
        <w:footnoteReference w:id="6"/>
      </w:r>
      <w:r w:rsidR="647B24AD" w:rsidRPr="68952F3F">
        <w:rPr>
          <w:rFonts w:cstheme="minorBidi"/>
          <w:sz w:val="24"/>
          <w:szCs w:val="24"/>
        </w:rPr>
        <w:t xml:space="preserve"> </w:t>
      </w:r>
      <w:r w:rsidRPr="68952F3F">
        <w:rPr>
          <w:rFonts w:cstheme="minorBidi"/>
          <w:sz w:val="24"/>
          <w:szCs w:val="24"/>
        </w:rPr>
        <w:t xml:space="preserve">found that unclear strategy and limited executive oversight led to poor coordination and unclear roles between the Council, CCO partners, and other stakeholders regarding balancing and attracting economic development and operating as a commercial business. </w:t>
      </w:r>
      <w:r w:rsidR="705DCC67" w:rsidRPr="68952F3F">
        <w:rPr>
          <w:rFonts w:cstheme="minorBidi"/>
          <w:sz w:val="24"/>
          <w:szCs w:val="24"/>
        </w:rPr>
        <w:t xml:space="preserve">The </w:t>
      </w:r>
      <w:r w:rsidR="5A8B9B31" w:rsidRPr="68952F3F">
        <w:rPr>
          <w:rFonts w:cstheme="minorBidi"/>
          <w:sz w:val="24"/>
          <w:szCs w:val="24"/>
        </w:rPr>
        <w:t>downside risk is</w:t>
      </w:r>
      <w:r w:rsidRPr="68952F3F">
        <w:rPr>
          <w:rFonts w:cstheme="minorBidi"/>
          <w:sz w:val="24"/>
          <w:szCs w:val="24"/>
        </w:rPr>
        <w:t xml:space="preserve"> that, while the Council has the networks to drive economic development, lack of clarity and coordination can undermine effectiveness and credibility.</w:t>
      </w:r>
    </w:p>
    <w:p w14:paraId="2D50E415" w14:textId="77777777" w:rsidR="00666B70" w:rsidRPr="00E6041E" w:rsidRDefault="00666B70" w:rsidP="00350C4A">
      <w:pPr>
        <w:pStyle w:val="Body"/>
        <w:spacing w:after="0" w:line="276" w:lineRule="auto"/>
        <w:rPr>
          <w:rFonts w:cstheme="minorHAnsi"/>
          <w:sz w:val="24"/>
          <w:szCs w:val="24"/>
        </w:rPr>
      </w:pPr>
    </w:p>
    <w:p w14:paraId="4C748DC1" w14:textId="25FB1186" w:rsidR="009D5079" w:rsidRPr="00E6041E" w:rsidRDefault="01C271B1" w:rsidP="00350C4A">
      <w:pPr>
        <w:pStyle w:val="Body"/>
        <w:spacing w:after="0" w:line="276" w:lineRule="auto"/>
        <w:rPr>
          <w:rFonts w:cstheme="minorBidi"/>
          <w:sz w:val="24"/>
          <w:szCs w:val="24"/>
        </w:rPr>
      </w:pPr>
      <w:r w:rsidRPr="68952F3F">
        <w:rPr>
          <w:rFonts w:cstheme="minorBidi"/>
          <w:sz w:val="24"/>
          <w:szCs w:val="24"/>
        </w:rPr>
        <w:t xml:space="preserve">The Council is responding by building strong connections with the business sector, community, and mana whenua, supported by dedicated teams. These relationships enable the Council to act as a central touchpoint for businesses and city stakeholders, leveraging partnerships to achieve outcomes and supporting diverse entrepreneurs, including Māori, Pasifika, women, and youth. Opportunities exist to clarify the Council’s role, strengthen collaboration with the </w:t>
      </w:r>
      <w:r w:rsidR="0AD02F62" w:rsidRPr="68952F3F">
        <w:rPr>
          <w:rFonts w:cstheme="minorBidi"/>
          <w:sz w:val="24"/>
          <w:szCs w:val="24"/>
        </w:rPr>
        <w:t>c</w:t>
      </w:r>
      <w:r w:rsidR="705DCC67" w:rsidRPr="68952F3F">
        <w:rPr>
          <w:rFonts w:cstheme="minorBidi"/>
          <w:sz w:val="24"/>
          <w:szCs w:val="24"/>
        </w:rPr>
        <w:t xml:space="preserve">entral </w:t>
      </w:r>
      <w:r w:rsidR="7FF96C0A" w:rsidRPr="68952F3F">
        <w:rPr>
          <w:rFonts w:cstheme="minorBidi"/>
          <w:sz w:val="24"/>
          <w:szCs w:val="24"/>
        </w:rPr>
        <w:t>government</w:t>
      </w:r>
      <w:r w:rsidRPr="68952F3F">
        <w:rPr>
          <w:rFonts w:cstheme="minorBidi"/>
          <w:sz w:val="24"/>
          <w:szCs w:val="24"/>
        </w:rPr>
        <w:t>, and further embed systems thinking to connect efforts and maximise impact across the city and region.</w:t>
      </w:r>
    </w:p>
    <w:p w14:paraId="556E7F0B" w14:textId="77777777" w:rsidR="00FE1D8A" w:rsidRPr="00E6041E" w:rsidRDefault="00FE1D8A" w:rsidP="00350C4A">
      <w:pPr>
        <w:pStyle w:val="Body"/>
        <w:spacing w:after="0" w:line="276" w:lineRule="auto"/>
        <w:rPr>
          <w:rFonts w:cstheme="minorHAnsi"/>
          <w:sz w:val="24"/>
          <w:szCs w:val="24"/>
        </w:rPr>
      </w:pPr>
    </w:p>
    <w:p w14:paraId="2E6EEFF8" w14:textId="7BAE1834" w:rsidR="009D5079" w:rsidRPr="00E6041E" w:rsidRDefault="3CF9E6DC" w:rsidP="00350C4A">
      <w:pPr>
        <w:spacing w:line="276" w:lineRule="auto"/>
        <w:rPr>
          <w:rFonts w:cstheme="minorBidi"/>
          <w:sz w:val="24"/>
          <w:szCs w:val="24"/>
        </w:rPr>
      </w:pPr>
      <w:r w:rsidRPr="68952F3F">
        <w:rPr>
          <w:rFonts w:cstheme="minorBidi"/>
          <w:sz w:val="24"/>
          <w:szCs w:val="24"/>
        </w:rPr>
        <w:t>F</w:t>
      </w:r>
      <w:r w:rsidR="705DCC67" w:rsidRPr="68952F3F">
        <w:rPr>
          <w:rFonts w:cstheme="minorBidi"/>
          <w:sz w:val="24"/>
          <w:szCs w:val="24"/>
        </w:rPr>
        <w:t>ragmented</w:t>
      </w:r>
      <w:r w:rsidR="01C271B1" w:rsidRPr="58518799">
        <w:rPr>
          <w:rFonts w:cstheme="minorBidi"/>
          <w:sz w:val="24"/>
          <w:szCs w:val="24"/>
        </w:rPr>
        <w:t xml:space="preserve"> data systems and insufficient analytical insights hinder the ability to accurately measure the effectiveness of economic development initiatives and </w:t>
      </w:r>
      <w:r w:rsidR="4517816C" w:rsidRPr="68952F3F">
        <w:rPr>
          <w:rFonts w:cstheme="minorBidi"/>
          <w:sz w:val="24"/>
          <w:szCs w:val="24"/>
        </w:rPr>
        <w:t xml:space="preserve">confidence </w:t>
      </w:r>
      <w:r w:rsidR="51EEB003" w:rsidRPr="68952F3F">
        <w:rPr>
          <w:rFonts w:cstheme="minorBidi"/>
          <w:sz w:val="24"/>
          <w:szCs w:val="24"/>
        </w:rPr>
        <w:t xml:space="preserve">about value for money </w:t>
      </w:r>
      <w:r w:rsidR="4945E6C0" w:rsidRPr="68952F3F">
        <w:rPr>
          <w:rFonts w:cstheme="minorBidi"/>
          <w:sz w:val="24"/>
          <w:szCs w:val="24"/>
        </w:rPr>
        <w:t>investments</w:t>
      </w:r>
      <w:r w:rsidR="705DCC67" w:rsidRPr="68952F3F">
        <w:rPr>
          <w:rFonts w:cstheme="minorBidi"/>
          <w:sz w:val="24"/>
          <w:szCs w:val="24"/>
        </w:rPr>
        <w:t>.</w:t>
      </w:r>
      <w:r w:rsidR="01C271B1" w:rsidRPr="58518799">
        <w:rPr>
          <w:rFonts w:cstheme="minorBidi"/>
          <w:sz w:val="24"/>
          <w:szCs w:val="24"/>
        </w:rPr>
        <w:t xml:space="preserve"> This lack of cohesive data and actionable information restricts the optimisation of strategies aimed at achieving inclusive growth. Despite these limitations, there is a significant opportunity to enhance decision-making and demonstrate real impact by investing in robust data </w:t>
      </w:r>
      <w:r w:rsidR="08629A59" w:rsidRPr="68952F3F">
        <w:rPr>
          <w:rFonts w:cstheme="minorBidi"/>
          <w:sz w:val="24"/>
          <w:szCs w:val="24"/>
        </w:rPr>
        <w:t>and insights</w:t>
      </w:r>
      <w:r w:rsidR="01C271B1" w:rsidRPr="58518799">
        <w:rPr>
          <w:rFonts w:cstheme="minorBidi"/>
          <w:sz w:val="24"/>
          <w:szCs w:val="24"/>
        </w:rPr>
        <w:t xml:space="preserve"> and comprehensive analysis. Strengthening these capabilities would enable more precise measurement of outcomes, inform strategic adjustments, and ensure that growth initiatives truly support inclusivity and resilience across Wellington’s economy.</w:t>
      </w:r>
    </w:p>
    <w:sectPr w:rsidR="009D5079" w:rsidRPr="00E6041E" w:rsidSect="002540A2">
      <w:pgSz w:w="11901" w:h="16840" w:code="9"/>
      <w:pgMar w:top="878" w:right="1134" w:bottom="1418" w:left="1134" w:header="403" w:footer="20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29872" w14:textId="77777777" w:rsidR="00AC1975" w:rsidRDefault="00AC1975" w:rsidP="001F3C2E">
      <w:r>
        <w:separator/>
      </w:r>
    </w:p>
  </w:endnote>
  <w:endnote w:type="continuationSeparator" w:id="0">
    <w:p w14:paraId="3CFDAFFF" w14:textId="77777777" w:rsidR="00AC1975" w:rsidRDefault="00AC1975" w:rsidP="001F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Narrow">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Open Sans">
    <w:charset w:val="00"/>
    <w:family w:val="swiss"/>
    <w:pitch w:val="variable"/>
    <w:sig w:usb0="E00002EF" w:usb1="4000205B" w:usb2="00000028" w:usb3="00000000" w:csb0="0000019F" w:csb1="00000000"/>
  </w:font>
  <w:font w:name="Guardian TextSans">
    <w:altName w:val="Cambria"/>
    <w:panose1 w:val="00000000000000000000"/>
    <w:charset w:val="00"/>
    <w:family w:val="roman"/>
    <w:notTrueType/>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CA0DD" w14:textId="77777777" w:rsidR="00BD2FED" w:rsidRDefault="00BD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FD3A2" w14:textId="0C71EAF8" w:rsidR="008521A9" w:rsidRDefault="008521A9">
    <w:pPr>
      <w:pStyle w:val="Footer"/>
      <w:jc w:val="right"/>
    </w:pP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2"/>
      <w:gridCol w:w="3212"/>
    </w:tblGrid>
    <w:tr w:rsidR="008521A9" w14:paraId="7762B200" w14:textId="77777777" w:rsidTr="008521A9">
      <w:tc>
        <w:tcPr>
          <w:tcW w:w="1666" w:type="pct"/>
        </w:tcPr>
        <w:p w14:paraId="3CBB1649" w14:textId="78902F4C" w:rsidR="008521A9" w:rsidRDefault="008521A9" w:rsidP="008521A9">
          <w:pPr>
            <w:pStyle w:val="Footer"/>
            <w:jc w:val="center"/>
          </w:pPr>
          <w:r>
            <w:t>WELLINGTON CITY COUNCIL</w:t>
          </w:r>
        </w:p>
      </w:tc>
      <w:tc>
        <w:tcPr>
          <w:tcW w:w="1667" w:type="pct"/>
        </w:tcPr>
        <w:p w14:paraId="7052C25D" w14:textId="45EAE9B2" w:rsidR="008521A9" w:rsidRDefault="008521A9" w:rsidP="008521A9">
          <w:pPr>
            <w:pStyle w:val="Footer"/>
            <w:jc w:val="center"/>
          </w:pPr>
          <w:r>
            <w:t xml:space="preserve">Background report: Economic </w:t>
          </w:r>
          <w:r w:rsidR="00BD2FED">
            <w:t xml:space="preserve">  </w:t>
          </w:r>
          <w:r>
            <w:t>development</w:t>
          </w:r>
        </w:p>
      </w:tc>
      <w:tc>
        <w:tcPr>
          <w:tcW w:w="1667" w:type="pct"/>
        </w:tcPr>
        <w:sdt>
          <w:sdtPr>
            <w:id w:val="-148914941"/>
            <w:docPartObj>
              <w:docPartGallery w:val="Page Numbers (Bottom of Page)"/>
              <w:docPartUnique/>
            </w:docPartObj>
          </w:sdtPr>
          <w:sdtEndPr>
            <w:rPr>
              <w:noProof/>
            </w:rPr>
          </w:sdtEndPr>
          <w:sdtContent>
            <w:p w14:paraId="31F74D71" w14:textId="2434623A" w:rsidR="008521A9" w:rsidRDefault="008521A9" w:rsidP="008521A9">
              <w:pPr>
                <w:pStyle w:val="Footer"/>
                <w:jc w:val="center"/>
                <w:rPr>
                  <w:noProof/>
                </w:rPr>
              </w:pPr>
              <w:r>
                <w:fldChar w:fldCharType="begin"/>
              </w:r>
              <w:r>
                <w:instrText xml:space="preserve"> PAGE   \* MERGEFORMAT </w:instrText>
              </w:r>
              <w:r>
                <w:fldChar w:fldCharType="separate"/>
              </w:r>
              <w:r>
                <w:t>1</w:t>
              </w:r>
              <w:r>
                <w:rPr>
                  <w:noProof/>
                </w:rPr>
                <w:fldChar w:fldCharType="end"/>
              </w:r>
            </w:p>
          </w:sdtContent>
        </w:sdt>
      </w:tc>
    </w:tr>
  </w:tbl>
  <w:p w14:paraId="62849CAE" w14:textId="77777777" w:rsidR="00EB3DB4" w:rsidRDefault="00EB3D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35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8"/>
      <w:gridCol w:w="2260"/>
      <w:gridCol w:w="2260"/>
    </w:tblGrid>
    <w:tr w:rsidR="002540A2" w14:paraId="5E2D85EE" w14:textId="77777777" w:rsidTr="002540A2">
      <w:trPr>
        <w:trHeight w:val="421"/>
      </w:trPr>
      <w:tc>
        <w:tcPr>
          <w:tcW w:w="1666" w:type="pct"/>
        </w:tcPr>
        <w:p w14:paraId="49A5B045" w14:textId="77777777" w:rsidR="002540A2" w:rsidRDefault="002540A2" w:rsidP="002540A2">
          <w:pPr>
            <w:pStyle w:val="Footer"/>
            <w:jc w:val="center"/>
          </w:pPr>
          <w:r>
            <w:t>WELLINGTON CITY COUNCIL</w:t>
          </w:r>
        </w:p>
      </w:tc>
      <w:tc>
        <w:tcPr>
          <w:tcW w:w="1667" w:type="pct"/>
        </w:tcPr>
        <w:p w14:paraId="74682480" w14:textId="77777777" w:rsidR="002540A2" w:rsidRDefault="002540A2" w:rsidP="002540A2">
          <w:pPr>
            <w:pStyle w:val="Footer"/>
            <w:jc w:val="center"/>
          </w:pPr>
          <w:r>
            <w:t>Background report: Economic development</w:t>
          </w:r>
        </w:p>
      </w:tc>
      <w:tc>
        <w:tcPr>
          <w:tcW w:w="1667" w:type="pct"/>
        </w:tcPr>
        <w:sdt>
          <w:sdtPr>
            <w:id w:val="-1748113175"/>
            <w:docPartObj>
              <w:docPartGallery w:val="Page Numbers (Bottom of Page)"/>
              <w:docPartUnique/>
            </w:docPartObj>
          </w:sdtPr>
          <w:sdtEndPr>
            <w:rPr>
              <w:noProof/>
            </w:rPr>
          </w:sdtEndPr>
          <w:sdtContent>
            <w:p w14:paraId="5A4D2FBF" w14:textId="77777777" w:rsidR="002540A2" w:rsidRDefault="002540A2" w:rsidP="002540A2">
              <w:pPr>
                <w:pStyle w:val="Footer"/>
                <w:jc w:val="center"/>
                <w:rPr>
                  <w:noProof/>
                </w:rPr>
              </w:pPr>
              <w:r>
                <w:fldChar w:fldCharType="begin"/>
              </w:r>
              <w:r>
                <w:instrText xml:space="preserve"> PAGE   \* MERGEFORMAT </w:instrText>
              </w:r>
              <w:r>
                <w:fldChar w:fldCharType="separate"/>
              </w:r>
              <w:r>
                <w:t>1</w:t>
              </w:r>
              <w:r>
                <w:rPr>
                  <w:noProof/>
                </w:rPr>
                <w:fldChar w:fldCharType="end"/>
              </w:r>
            </w:p>
          </w:sdtContent>
        </w:sdt>
      </w:tc>
    </w:tr>
  </w:tbl>
  <w:p w14:paraId="5FDD67E0" w14:textId="77777777" w:rsidR="00EB3DB4" w:rsidRDefault="00EB3D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1DDBF" w14:textId="77777777" w:rsidR="00AC1975" w:rsidRDefault="00AC1975" w:rsidP="001F3C2E">
      <w:r>
        <w:separator/>
      </w:r>
    </w:p>
  </w:footnote>
  <w:footnote w:type="continuationSeparator" w:id="0">
    <w:p w14:paraId="5552689F" w14:textId="77777777" w:rsidR="00AC1975" w:rsidRDefault="00AC1975" w:rsidP="001F3C2E">
      <w:r>
        <w:continuationSeparator/>
      </w:r>
    </w:p>
  </w:footnote>
  <w:footnote w:id="1">
    <w:p w14:paraId="4B401360" w14:textId="1918693D" w:rsidR="00D02FF9" w:rsidRPr="00DD5307" w:rsidRDefault="00D02FF9" w:rsidP="00D02FF9">
      <w:pPr>
        <w:pStyle w:val="FootnoteText"/>
        <w:rPr>
          <w:lang w:val="en-US"/>
        </w:rPr>
      </w:pPr>
      <w:r>
        <w:rPr>
          <w:rStyle w:val="FootnoteReference"/>
        </w:rPr>
        <w:footnoteRef/>
      </w:r>
      <w:r>
        <w:t xml:space="preserve"> </w:t>
      </w:r>
      <w:hyperlink r:id="rId1" w:history="1">
        <w:r w:rsidRPr="00DD5307">
          <w:rPr>
            <w:rStyle w:val="Hyperlink"/>
            <w:rFonts w:asciiTheme="minorHAnsi" w:hAnsiTheme="minorHAnsi"/>
            <w:noProof w:val="0"/>
            <w:sz w:val="20"/>
          </w:rPr>
          <w:t>Long-term Plan 2024-34 - Plans, policies and bylaws - Wellington City Council</w:t>
        </w:r>
      </w:hyperlink>
      <w:r>
        <w:t xml:space="preserve"> </w:t>
      </w:r>
    </w:p>
  </w:footnote>
  <w:footnote w:id="2">
    <w:p w14:paraId="157B6EFF" w14:textId="410174D3" w:rsidR="001447E1" w:rsidRPr="001447E1" w:rsidRDefault="001447E1">
      <w:pPr>
        <w:pStyle w:val="FootnoteText"/>
        <w:rPr>
          <w:lang w:val="en-US"/>
        </w:rPr>
      </w:pPr>
      <w:r>
        <w:rPr>
          <w:rStyle w:val="FootnoteReference"/>
        </w:rPr>
        <w:footnoteRef/>
      </w:r>
      <w:r>
        <w:t xml:space="preserve"> </w:t>
      </w:r>
      <w:hyperlink r:id="rId2" w:history="1">
        <w:r w:rsidR="005A36A5" w:rsidRPr="005A36A5">
          <w:rPr>
            <w:rStyle w:val="Hyperlink"/>
            <w:rFonts w:asciiTheme="minorHAnsi" w:hAnsiTheme="minorHAnsi"/>
            <w:noProof w:val="0"/>
            <w:sz w:val="20"/>
          </w:rPr>
          <w:t>Wellington City Council. (October 2025). Annual report 2024/2025.</w:t>
        </w:r>
      </w:hyperlink>
      <w:r w:rsidR="005A36A5">
        <w:t xml:space="preserve"> </w:t>
      </w:r>
    </w:p>
  </w:footnote>
  <w:footnote w:id="3">
    <w:p w14:paraId="315A42CF" w14:textId="138F579E" w:rsidR="008D5DBD" w:rsidRDefault="008D5DBD" w:rsidP="008D5DBD">
      <w:pPr>
        <w:pStyle w:val="FootnoteText"/>
      </w:pPr>
      <w:r w:rsidRPr="607B4EC7">
        <w:rPr>
          <w:rStyle w:val="FootnoteReference"/>
        </w:rPr>
        <w:footnoteRef/>
      </w:r>
      <w:r>
        <w:t xml:space="preserve"> </w:t>
      </w:r>
      <w:hyperlink r:id="rId3" w:history="1">
        <w:r w:rsidRPr="009C0214">
          <w:rPr>
            <w:rStyle w:val="Hyperlink"/>
            <w:rFonts w:asciiTheme="minorHAnsi" w:hAnsiTheme="minorHAnsi"/>
            <w:noProof w:val="0"/>
            <w:sz w:val="20"/>
          </w:rPr>
          <w:t xml:space="preserve">Infometrics. (September 2025). </w:t>
        </w:r>
        <w:r w:rsidRPr="009C0214">
          <w:rPr>
            <w:rStyle w:val="Hyperlink"/>
            <w:rFonts w:asciiTheme="minorHAnsi" w:hAnsiTheme="minorHAnsi"/>
            <w:i/>
            <w:iCs/>
            <w:noProof w:val="0"/>
            <w:sz w:val="20"/>
          </w:rPr>
          <w:t xml:space="preserve">Unemployment </w:t>
        </w:r>
        <w:r w:rsidRPr="009C0214">
          <w:rPr>
            <w:rStyle w:val="Hyperlink"/>
            <w:rFonts w:asciiTheme="minorHAnsi" w:hAnsiTheme="minorHAnsi"/>
            <w:noProof w:val="0"/>
            <w:sz w:val="20"/>
          </w:rPr>
          <w:t>in Quarterly Economic Monitor | Wellington City</w:t>
        </w:r>
      </w:hyperlink>
      <w:r w:rsidRPr="607B4EC7">
        <w:t xml:space="preserve">. </w:t>
      </w:r>
    </w:p>
  </w:footnote>
  <w:footnote w:id="4">
    <w:p w14:paraId="667CADE8" w14:textId="1F25010B" w:rsidR="006242F2" w:rsidRPr="006242F2" w:rsidRDefault="006242F2">
      <w:pPr>
        <w:pStyle w:val="FootnoteText"/>
        <w:rPr>
          <w:lang w:val="en-US"/>
        </w:rPr>
      </w:pPr>
      <w:r>
        <w:rPr>
          <w:rStyle w:val="FootnoteReference"/>
        </w:rPr>
        <w:footnoteRef/>
      </w:r>
      <w:r>
        <w:t xml:space="preserve"> </w:t>
      </w:r>
      <w:hyperlink r:id="rId4" w:history="1">
        <w:r w:rsidR="005B50C4" w:rsidRPr="005B50C4">
          <w:rPr>
            <w:rStyle w:val="Hyperlink"/>
            <w:rFonts w:asciiTheme="minorHAnsi" w:hAnsiTheme="minorHAnsi"/>
            <w:noProof w:val="0"/>
            <w:sz w:val="20"/>
          </w:rPr>
          <w:t xml:space="preserve">Infometrics </w:t>
        </w:r>
        <w:r w:rsidR="00D074DC">
          <w:rPr>
            <w:rStyle w:val="Hyperlink"/>
            <w:rFonts w:asciiTheme="minorHAnsi" w:hAnsiTheme="minorHAnsi"/>
            <w:noProof w:val="0"/>
            <w:sz w:val="20"/>
          </w:rPr>
          <w:t>W</w:t>
        </w:r>
        <w:r w:rsidR="005B50C4" w:rsidRPr="005B50C4">
          <w:rPr>
            <w:rStyle w:val="Hyperlink"/>
            <w:rFonts w:asciiTheme="minorHAnsi" w:hAnsiTheme="minorHAnsi"/>
            <w:noProof w:val="0"/>
            <w:sz w:val="20"/>
          </w:rPr>
          <w:t>ellington Regional Profile to March 2025</w:t>
        </w:r>
      </w:hyperlink>
      <w:r w:rsidR="00DF7563">
        <w:t>.</w:t>
      </w:r>
    </w:p>
  </w:footnote>
  <w:footnote w:id="5">
    <w:p w14:paraId="1B398315" w14:textId="77777777" w:rsidR="005B3440" w:rsidRDefault="005B3440" w:rsidP="005B3440">
      <w:pPr>
        <w:pStyle w:val="FootnoteText"/>
      </w:pPr>
      <w:r w:rsidRPr="29C1E397">
        <w:rPr>
          <w:rStyle w:val="FootnoteReference"/>
        </w:rPr>
        <w:footnoteRef/>
      </w:r>
      <w:r>
        <w:t xml:space="preserve"> </w:t>
      </w:r>
      <w:hyperlink r:id="rId5">
        <w:r w:rsidRPr="29C1E397">
          <w:rPr>
            <w:rStyle w:val="Hyperlink"/>
            <w:rFonts w:asciiTheme="minorHAnsi" w:hAnsiTheme="minorHAnsi"/>
            <w:noProof w:val="0"/>
            <w:sz w:val="20"/>
          </w:rPr>
          <w:t xml:space="preserve">Olsen &amp; Whiteford. (24 September 2025). </w:t>
        </w:r>
        <w:r w:rsidRPr="29C1E397">
          <w:rPr>
            <w:rStyle w:val="Hyperlink"/>
            <w:rFonts w:asciiTheme="minorHAnsi" w:hAnsiTheme="minorHAnsi"/>
            <w:i/>
            <w:iCs/>
            <w:noProof w:val="0"/>
            <w:sz w:val="20"/>
          </w:rPr>
          <w:t xml:space="preserve">New Zealand’s most creative city in 2024. </w:t>
        </w:r>
        <w:r w:rsidRPr="29C1E397">
          <w:rPr>
            <w:rStyle w:val="Hyperlink"/>
            <w:rFonts w:asciiTheme="minorHAnsi" w:hAnsiTheme="minorHAnsi"/>
            <w:noProof w:val="0"/>
            <w:sz w:val="20"/>
          </w:rPr>
          <w:t xml:space="preserve">Infometrics. </w:t>
        </w:r>
      </w:hyperlink>
      <w:r w:rsidRPr="29C1E397">
        <w:rPr>
          <w:rStyle w:val="Hyperlink"/>
          <w:noProof w:val="0"/>
        </w:rPr>
        <w:t xml:space="preserve"> </w:t>
      </w:r>
    </w:p>
  </w:footnote>
  <w:footnote w:id="6">
    <w:p w14:paraId="5BAFB8DD" w14:textId="53A908E9" w:rsidR="00B5472C" w:rsidRPr="00873B4F" w:rsidRDefault="00B5472C">
      <w:pPr>
        <w:pStyle w:val="FootnoteText"/>
        <w:rPr>
          <w:i/>
          <w:iCs/>
          <w:lang w:val="en-US"/>
        </w:rPr>
      </w:pPr>
      <w:r>
        <w:rPr>
          <w:rStyle w:val="FootnoteReference"/>
        </w:rPr>
        <w:footnoteRef/>
      </w:r>
      <w:r>
        <w:t xml:space="preserve"> </w:t>
      </w:r>
      <w:hyperlink r:id="rId6" w:history="1">
        <w:r w:rsidRPr="002E00E3">
          <w:rPr>
            <w:rStyle w:val="Hyperlink"/>
            <w:rFonts w:asciiTheme="minorHAnsi" w:hAnsiTheme="minorHAnsi"/>
            <w:noProof w:val="0"/>
            <w:sz w:val="20"/>
            <w:lang w:val="en-US"/>
          </w:rPr>
          <w:t>We</w:t>
        </w:r>
        <w:r w:rsidR="00873B4F" w:rsidRPr="002E00E3">
          <w:rPr>
            <w:rStyle w:val="Hyperlink"/>
            <w:rFonts w:asciiTheme="minorHAnsi" w:hAnsiTheme="minorHAnsi"/>
            <w:noProof w:val="0"/>
            <w:sz w:val="20"/>
            <w:lang w:val="en-US"/>
          </w:rPr>
          <w:t xml:space="preserve">llington City Council. (June 2023). </w:t>
        </w:r>
        <w:r w:rsidR="00873B4F" w:rsidRPr="002E00E3">
          <w:rPr>
            <w:rStyle w:val="Hyperlink"/>
            <w:rFonts w:asciiTheme="minorHAnsi" w:hAnsiTheme="minorHAnsi"/>
            <w:i/>
            <w:iCs/>
            <w:noProof w:val="0"/>
            <w:sz w:val="20"/>
            <w:lang w:val="en-US"/>
          </w:rPr>
          <w:t xml:space="preserve">Operational </w:t>
        </w:r>
        <w:r w:rsidR="00AD060E" w:rsidRPr="002E00E3">
          <w:rPr>
            <w:rStyle w:val="Hyperlink"/>
            <w:rFonts w:asciiTheme="minorHAnsi" w:hAnsiTheme="minorHAnsi"/>
            <w:i/>
            <w:iCs/>
            <w:noProof w:val="0"/>
            <w:sz w:val="20"/>
            <w:lang w:val="en-US"/>
          </w:rPr>
          <w:t xml:space="preserve">model and governance review for </w:t>
        </w:r>
        <w:r w:rsidR="00AD060E" w:rsidRPr="002E00E3">
          <w:rPr>
            <w:rStyle w:val="Hyperlink"/>
            <w:rFonts w:asciiTheme="minorHAnsi" w:hAnsiTheme="minorHAnsi"/>
            <w:i/>
            <w:iCs/>
            <w:noProof w:val="0"/>
            <w:sz w:val="20"/>
            <w:lang w:val="en-US"/>
          </w:rPr>
          <w:t>T</w:t>
        </w:r>
        <w:r w:rsidR="00AD060E" w:rsidRPr="002E00E3">
          <w:rPr>
            <w:rStyle w:val="Hyperlink"/>
            <w:rFonts w:asciiTheme="minorHAnsi" w:hAnsiTheme="minorHAnsi" w:cstheme="minorHAnsi"/>
            <w:i/>
            <w:iCs/>
            <w:noProof w:val="0"/>
            <w:sz w:val="20"/>
            <w:lang w:val="en-US"/>
          </w:rPr>
          <w:t>ā</w:t>
        </w:r>
        <w:r w:rsidR="00AD060E" w:rsidRPr="002E00E3">
          <w:rPr>
            <w:rStyle w:val="Hyperlink"/>
            <w:rFonts w:asciiTheme="minorHAnsi" w:hAnsiTheme="minorHAnsi"/>
            <w:i/>
            <w:iCs/>
            <w:noProof w:val="0"/>
            <w:sz w:val="20"/>
            <w:lang w:val="en-US"/>
          </w:rPr>
          <w:t>kina Wellington Convention and Exhibition Centre.</w:t>
        </w:r>
      </w:hyperlink>
      <w:r w:rsidR="00AD060E">
        <w:rPr>
          <w:i/>
          <w:iC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9771" w14:textId="77777777" w:rsidR="00BD2FED" w:rsidRDefault="00BD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FC8D" w14:textId="77777777" w:rsidR="00BD2FED" w:rsidRDefault="00BD2F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4D3A2" w14:textId="77777777" w:rsidR="00BD2FED" w:rsidRDefault="00BD2FED">
    <w:pPr>
      <w:pStyle w:val="Header"/>
    </w:pPr>
  </w:p>
</w:hdr>
</file>

<file path=word/intelligence2.xml><?xml version="1.0" encoding="utf-8"?>
<int2:intelligence xmlns:int2="http://schemas.microsoft.com/office/intelligence/2020/intelligence" xmlns:oel="http://schemas.microsoft.com/office/2019/extlst">
  <int2:observations>
    <int2:textHash int2:hashCode="iFksZHYck7Lh3w" int2:id="1MlmK4zI">
      <int2:state int2:value="Rejected" int2:type="spell"/>
    </int2:textHash>
    <int2:textHash int2:hashCode="Zc8YT09bk/9qfc" int2:id="58gu3MaP">
      <int2:state int2:value="Rejected" int2:type="spell"/>
    </int2:textHash>
    <int2:textHash int2:hashCode="wp3WyDtnodbTso" int2:id="AoVO0pwN">
      <int2:state int2:value="Rejected" int2:type="spell"/>
    </int2:textHash>
    <int2:textHash int2:hashCode="doycEd9dSooA39" int2:id="GHKsr7m5">
      <int2:state int2:value="Rejected" int2:type="spell"/>
    </int2:textHash>
    <int2:textHash int2:hashCode="+pOqN1ZKhZqaJe" int2:id="HUvGolKp">
      <int2:state int2:value="Rejected" int2:type="spell"/>
    </int2:textHash>
    <int2:textHash int2:hashCode="FyBK+9ZRljBbl7" int2:id="KB9lCXcC">
      <int2:state int2:value="Rejected" int2:type="spell"/>
    </int2:textHash>
    <int2:textHash int2:hashCode="Q+ejL+eRTYEIrn" int2:id="PYGaAhyH">
      <int2:state int2:value="Rejected" int2:type="spell"/>
    </int2:textHash>
    <int2:textHash int2:hashCode="nR09hjltf4/QnY" int2:id="TMCb6Lvz">
      <int2:state int2:value="Rejected" int2:type="spell"/>
    </int2:textHash>
    <int2:textHash int2:hashCode="WvycU+ezHS8WQx" int2:id="TMdHfYxh">
      <int2:state int2:value="Rejected" int2:type="spell"/>
    </int2:textHash>
    <int2:textHash int2:hashCode="f1OmjTJDRvyEV6" int2:id="VCIujvpF">
      <int2:state int2:value="Rejected" int2:type="style"/>
    </int2:textHash>
    <int2:textHash int2:hashCode="kVrHI9JYRAQuWE" int2:id="Xzo9OnRq">
      <int2:state int2:value="Rejected" int2:type="spell"/>
    </int2:textHash>
    <int2:textHash int2:hashCode="KaSG8aDc6QQGXd" int2:id="aNkutVu1">
      <int2:state int2:value="Rejected" int2:type="spell"/>
    </int2:textHash>
    <int2:textHash int2:hashCode="XSUiEPxXFZ9tOg" int2:id="cFZurDfn">
      <int2:state int2:value="Rejected" int2:type="spell"/>
    </int2:textHash>
    <int2:textHash int2:hashCode="M+lQXRKULoJZo8" int2:id="o78cOnKM">
      <int2:state int2:value="Rejected" int2:type="spell"/>
    </int2:textHash>
    <int2:textHash int2:hashCode="n1t1IGn3ebxkj6" int2:id="ogjS2pa0">
      <int2:state int2:value="Rejected" int2:type="spell"/>
    </int2:textHash>
    <int2:textHash int2:hashCode="hq1Jwh9RgTVmlB" int2:id="rGTAMaiX">
      <int2:state int2:value="Rejected" int2:type="spell"/>
    </int2:textHash>
    <int2:textHash int2:hashCode="2SMR9VSeQvTpi0" int2:id="rvihI1WI">
      <int2:state int2:value="Rejected" int2:type="spell"/>
    </int2:textHash>
    <int2:textHash int2:hashCode="NrOW1ST3XLDgVM" int2:id="x2PSMEwr">
      <int2:state int2:value="Rejected" int2:type="spell"/>
    </int2:textHash>
    <int2:textHash int2:hashCode="kPeCFD0gntMBPh" int2:id="xDnXj4X0">
      <int2:state int2:value="Rejected" int2:type="spell"/>
    </int2:textHash>
    <int2:textHash int2:hashCode="naXxkq3lfNt95p" int2:id="xbZhSEh4">
      <int2:state int2:value="Rejected" int2:type="spell"/>
    </int2:textHash>
    <int2:bookmark int2:bookmarkName="_Int_FYTwy7q8" int2:invalidationBookmarkName="" int2:hashCode="v0m/NSNYhqbQqe" int2:id="Exsk1Bf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91CD67C"/>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40C40"/>
    <w:multiLevelType w:val="hybridMultilevel"/>
    <w:tmpl w:val="33907B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D76009"/>
    <w:multiLevelType w:val="hybridMultilevel"/>
    <w:tmpl w:val="18501750"/>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C7BAF"/>
    <w:multiLevelType w:val="hybridMultilevel"/>
    <w:tmpl w:val="D6AC26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DF70DCB"/>
    <w:multiLevelType w:val="hybridMultilevel"/>
    <w:tmpl w:val="A8CE755E"/>
    <w:lvl w:ilvl="0" w:tplc="084A8136">
      <w:start w:val="1"/>
      <w:numFmt w:val="bullet"/>
      <w:lvlText w:val=""/>
      <w:lvlJc w:val="left"/>
      <w:pPr>
        <w:ind w:left="720" w:hanging="360"/>
      </w:pPr>
      <w:rPr>
        <w:rFonts w:ascii="Symbol" w:hAnsi="Symbol" w:hint="default"/>
      </w:rPr>
    </w:lvl>
    <w:lvl w:ilvl="1" w:tplc="98264F12">
      <w:start w:val="1"/>
      <w:numFmt w:val="bullet"/>
      <w:lvlText w:val="o"/>
      <w:lvlJc w:val="left"/>
      <w:pPr>
        <w:ind w:left="1440" w:hanging="360"/>
      </w:pPr>
      <w:rPr>
        <w:rFonts w:ascii="Courier New" w:hAnsi="Courier New" w:hint="default"/>
      </w:rPr>
    </w:lvl>
    <w:lvl w:ilvl="2" w:tplc="F4A87C3E">
      <w:start w:val="1"/>
      <w:numFmt w:val="bullet"/>
      <w:lvlText w:val=""/>
      <w:lvlJc w:val="left"/>
      <w:pPr>
        <w:ind w:left="2160" w:hanging="360"/>
      </w:pPr>
      <w:rPr>
        <w:rFonts w:ascii="Wingdings" w:hAnsi="Wingdings" w:hint="default"/>
      </w:rPr>
    </w:lvl>
    <w:lvl w:ilvl="3" w:tplc="F52AD61A">
      <w:start w:val="1"/>
      <w:numFmt w:val="bullet"/>
      <w:lvlText w:val=""/>
      <w:lvlJc w:val="left"/>
      <w:pPr>
        <w:ind w:left="2880" w:hanging="360"/>
      </w:pPr>
      <w:rPr>
        <w:rFonts w:ascii="Symbol" w:hAnsi="Symbol" w:hint="default"/>
      </w:rPr>
    </w:lvl>
    <w:lvl w:ilvl="4" w:tplc="3482A862">
      <w:start w:val="1"/>
      <w:numFmt w:val="bullet"/>
      <w:lvlText w:val="o"/>
      <w:lvlJc w:val="left"/>
      <w:pPr>
        <w:ind w:left="3600" w:hanging="360"/>
      </w:pPr>
      <w:rPr>
        <w:rFonts w:ascii="Courier New" w:hAnsi="Courier New" w:hint="default"/>
      </w:rPr>
    </w:lvl>
    <w:lvl w:ilvl="5" w:tplc="345CFC20">
      <w:start w:val="1"/>
      <w:numFmt w:val="bullet"/>
      <w:lvlText w:val=""/>
      <w:lvlJc w:val="left"/>
      <w:pPr>
        <w:ind w:left="4320" w:hanging="360"/>
      </w:pPr>
      <w:rPr>
        <w:rFonts w:ascii="Wingdings" w:hAnsi="Wingdings" w:hint="default"/>
      </w:rPr>
    </w:lvl>
    <w:lvl w:ilvl="6" w:tplc="167E1F9E">
      <w:start w:val="1"/>
      <w:numFmt w:val="bullet"/>
      <w:lvlText w:val=""/>
      <w:lvlJc w:val="left"/>
      <w:pPr>
        <w:ind w:left="5040" w:hanging="360"/>
      </w:pPr>
      <w:rPr>
        <w:rFonts w:ascii="Symbol" w:hAnsi="Symbol" w:hint="default"/>
      </w:rPr>
    </w:lvl>
    <w:lvl w:ilvl="7" w:tplc="4C722FDC">
      <w:start w:val="1"/>
      <w:numFmt w:val="bullet"/>
      <w:lvlText w:val="o"/>
      <w:lvlJc w:val="left"/>
      <w:pPr>
        <w:ind w:left="5760" w:hanging="360"/>
      </w:pPr>
      <w:rPr>
        <w:rFonts w:ascii="Courier New" w:hAnsi="Courier New" w:hint="default"/>
      </w:rPr>
    </w:lvl>
    <w:lvl w:ilvl="8" w:tplc="89FC3218">
      <w:start w:val="1"/>
      <w:numFmt w:val="bullet"/>
      <w:lvlText w:val=""/>
      <w:lvlJc w:val="left"/>
      <w:pPr>
        <w:ind w:left="6480" w:hanging="360"/>
      </w:pPr>
      <w:rPr>
        <w:rFonts w:ascii="Wingdings" w:hAnsi="Wingdings" w:hint="default"/>
      </w:rPr>
    </w:lvl>
  </w:abstractNum>
  <w:abstractNum w:abstractNumId="6" w15:restartNumberingAfterBreak="0">
    <w:nsid w:val="0E657511"/>
    <w:multiLevelType w:val="hybridMultilevel"/>
    <w:tmpl w:val="C750F7E0"/>
    <w:lvl w:ilvl="0" w:tplc="D95C4B40">
      <w:start w:val="1"/>
      <w:numFmt w:val="bullet"/>
      <w:lvlText w:val=""/>
      <w:lvlJc w:val="left"/>
      <w:pPr>
        <w:ind w:left="360" w:hanging="360"/>
      </w:pPr>
      <w:rPr>
        <w:rFonts w:ascii="Symbol" w:hAnsi="Symbol" w:hint="default"/>
        <w:sz w:val="22"/>
        <w:szCs w:val="22"/>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0F6D6F40"/>
    <w:multiLevelType w:val="hybridMultilevel"/>
    <w:tmpl w:val="58644B6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10CAB64F"/>
    <w:multiLevelType w:val="hybridMultilevel"/>
    <w:tmpl w:val="FFFFFFFF"/>
    <w:lvl w:ilvl="0" w:tplc="717C001C">
      <w:start w:val="1"/>
      <w:numFmt w:val="bullet"/>
      <w:lvlText w:val=""/>
      <w:lvlJc w:val="left"/>
      <w:pPr>
        <w:ind w:left="720" w:hanging="360"/>
      </w:pPr>
      <w:rPr>
        <w:rFonts w:ascii="Symbol" w:hAnsi="Symbol" w:hint="default"/>
      </w:rPr>
    </w:lvl>
    <w:lvl w:ilvl="1" w:tplc="77B61AE8">
      <w:start w:val="1"/>
      <w:numFmt w:val="bullet"/>
      <w:lvlText w:val="o"/>
      <w:lvlJc w:val="left"/>
      <w:pPr>
        <w:ind w:left="1440" w:hanging="360"/>
      </w:pPr>
      <w:rPr>
        <w:rFonts w:ascii="Courier New" w:hAnsi="Courier New" w:hint="default"/>
      </w:rPr>
    </w:lvl>
    <w:lvl w:ilvl="2" w:tplc="B39C198E">
      <w:start w:val="1"/>
      <w:numFmt w:val="bullet"/>
      <w:lvlText w:val=""/>
      <w:lvlJc w:val="left"/>
      <w:pPr>
        <w:ind w:left="2160" w:hanging="360"/>
      </w:pPr>
      <w:rPr>
        <w:rFonts w:ascii="Wingdings" w:hAnsi="Wingdings" w:hint="default"/>
      </w:rPr>
    </w:lvl>
    <w:lvl w:ilvl="3" w:tplc="E38AC4A8">
      <w:start w:val="1"/>
      <w:numFmt w:val="bullet"/>
      <w:lvlText w:val=""/>
      <w:lvlJc w:val="left"/>
      <w:pPr>
        <w:ind w:left="2880" w:hanging="360"/>
      </w:pPr>
      <w:rPr>
        <w:rFonts w:ascii="Symbol" w:hAnsi="Symbol" w:hint="default"/>
      </w:rPr>
    </w:lvl>
    <w:lvl w:ilvl="4" w:tplc="D3CAA26C">
      <w:start w:val="1"/>
      <w:numFmt w:val="bullet"/>
      <w:lvlText w:val="o"/>
      <w:lvlJc w:val="left"/>
      <w:pPr>
        <w:ind w:left="3600" w:hanging="360"/>
      </w:pPr>
      <w:rPr>
        <w:rFonts w:ascii="Courier New" w:hAnsi="Courier New" w:hint="default"/>
      </w:rPr>
    </w:lvl>
    <w:lvl w:ilvl="5" w:tplc="BAA013F0">
      <w:start w:val="1"/>
      <w:numFmt w:val="bullet"/>
      <w:lvlText w:val=""/>
      <w:lvlJc w:val="left"/>
      <w:pPr>
        <w:ind w:left="4320" w:hanging="360"/>
      </w:pPr>
      <w:rPr>
        <w:rFonts w:ascii="Wingdings" w:hAnsi="Wingdings" w:hint="default"/>
      </w:rPr>
    </w:lvl>
    <w:lvl w:ilvl="6" w:tplc="1B66591E">
      <w:start w:val="1"/>
      <w:numFmt w:val="bullet"/>
      <w:lvlText w:val=""/>
      <w:lvlJc w:val="left"/>
      <w:pPr>
        <w:ind w:left="5040" w:hanging="360"/>
      </w:pPr>
      <w:rPr>
        <w:rFonts w:ascii="Symbol" w:hAnsi="Symbol" w:hint="default"/>
      </w:rPr>
    </w:lvl>
    <w:lvl w:ilvl="7" w:tplc="4082131A">
      <w:start w:val="1"/>
      <w:numFmt w:val="bullet"/>
      <w:lvlText w:val="o"/>
      <w:lvlJc w:val="left"/>
      <w:pPr>
        <w:ind w:left="5760" w:hanging="360"/>
      </w:pPr>
      <w:rPr>
        <w:rFonts w:ascii="Courier New" w:hAnsi="Courier New" w:hint="default"/>
      </w:rPr>
    </w:lvl>
    <w:lvl w:ilvl="8" w:tplc="1C265B92">
      <w:start w:val="1"/>
      <w:numFmt w:val="bullet"/>
      <w:lvlText w:val=""/>
      <w:lvlJc w:val="left"/>
      <w:pPr>
        <w:ind w:left="6480" w:hanging="360"/>
      </w:pPr>
      <w:rPr>
        <w:rFonts w:ascii="Wingdings" w:hAnsi="Wingdings" w:hint="default"/>
      </w:rPr>
    </w:lvl>
  </w:abstractNum>
  <w:abstractNum w:abstractNumId="9" w15:restartNumberingAfterBreak="0">
    <w:nsid w:val="1719606A"/>
    <w:multiLevelType w:val="hybridMultilevel"/>
    <w:tmpl w:val="2A8A5C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958053D"/>
    <w:multiLevelType w:val="hybridMultilevel"/>
    <w:tmpl w:val="4AE0C632"/>
    <w:lvl w:ilvl="0" w:tplc="14090001">
      <w:start w:val="1"/>
      <w:numFmt w:val="bullet"/>
      <w:lvlText w:val=""/>
      <w:lvlJc w:val="left"/>
      <w:pPr>
        <w:ind w:left="783" w:hanging="360"/>
      </w:pPr>
      <w:rPr>
        <w:rFonts w:ascii="Symbol" w:hAnsi="Symbol" w:hint="default"/>
      </w:rPr>
    </w:lvl>
    <w:lvl w:ilvl="1" w:tplc="14090003" w:tentative="1">
      <w:start w:val="1"/>
      <w:numFmt w:val="bullet"/>
      <w:lvlText w:val="o"/>
      <w:lvlJc w:val="left"/>
      <w:pPr>
        <w:ind w:left="1503" w:hanging="360"/>
      </w:pPr>
      <w:rPr>
        <w:rFonts w:ascii="Courier New" w:hAnsi="Courier New" w:cs="Courier New" w:hint="default"/>
      </w:rPr>
    </w:lvl>
    <w:lvl w:ilvl="2" w:tplc="14090005" w:tentative="1">
      <w:start w:val="1"/>
      <w:numFmt w:val="bullet"/>
      <w:lvlText w:val=""/>
      <w:lvlJc w:val="left"/>
      <w:pPr>
        <w:ind w:left="2223" w:hanging="360"/>
      </w:pPr>
      <w:rPr>
        <w:rFonts w:ascii="Wingdings" w:hAnsi="Wingdings" w:hint="default"/>
      </w:rPr>
    </w:lvl>
    <w:lvl w:ilvl="3" w:tplc="14090001" w:tentative="1">
      <w:start w:val="1"/>
      <w:numFmt w:val="bullet"/>
      <w:lvlText w:val=""/>
      <w:lvlJc w:val="left"/>
      <w:pPr>
        <w:ind w:left="2943" w:hanging="360"/>
      </w:pPr>
      <w:rPr>
        <w:rFonts w:ascii="Symbol" w:hAnsi="Symbol" w:hint="default"/>
      </w:rPr>
    </w:lvl>
    <w:lvl w:ilvl="4" w:tplc="14090003" w:tentative="1">
      <w:start w:val="1"/>
      <w:numFmt w:val="bullet"/>
      <w:lvlText w:val="o"/>
      <w:lvlJc w:val="left"/>
      <w:pPr>
        <w:ind w:left="3663" w:hanging="360"/>
      </w:pPr>
      <w:rPr>
        <w:rFonts w:ascii="Courier New" w:hAnsi="Courier New" w:cs="Courier New" w:hint="default"/>
      </w:rPr>
    </w:lvl>
    <w:lvl w:ilvl="5" w:tplc="14090005" w:tentative="1">
      <w:start w:val="1"/>
      <w:numFmt w:val="bullet"/>
      <w:lvlText w:val=""/>
      <w:lvlJc w:val="left"/>
      <w:pPr>
        <w:ind w:left="4383" w:hanging="360"/>
      </w:pPr>
      <w:rPr>
        <w:rFonts w:ascii="Wingdings" w:hAnsi="Wingdings" w:hint="default"/>
      </w:rPr>
    </w:lvl>
    <w:lvl w:ilvl="6" w:tplc="14090001" w:tentative="1">
      <w:start w:val="1"/>
      <w:numFmt w:val="bullet"/>
      <w:lvlText w:val=""/>
      <w:lvlJc w:val="left"/>
      <w:pPr>
        <w:ind w:left="5103" w:hanging="360"/>
      </w:pPr>
      <w:rPr>
        <w:rFonts w:ascii="Symbol" w:hAnsi="Symbol" w:hint="default"/>
      </w:rPr>
    </w:lvl>
    <w:lvl w:ilvl="7" w:tplc="14090003" w:tentative="1">
      <w:start w:val="1"/>
      <w:numFmt w:val="bullet"/>
      <w:lvlText w:val="o"/>
      <w:lvlJc w:val="left"/>
      <w:pPr>
        <w:ind w:left="5823" w:hanging="360"/>
      </w:pPr>
      <w:rPr>
        <w:rFonts w:ascii="Courier New" w:hAnsi="Courier New" w:cs="Courier New" w:hint="default"/>
      </w:rPr>
    </w:lvl>
    <w:lvl w:ilvl="8" w:tplc="14090005" w:tentative="1">
      <w:start w:val="1"/>
      <w:numFmt w:val="bullet"/>
      <w:lvlText w:val=""/>
      <w:lvlJc w:val="left"/>
      <w:pPr>
        <w:ind w:left="6543" w:hanging="360"/>
      </w:pPr>
      <w:rPr>
        <w:rFonts w:ascii="Wingdings" w:hAnsi="Wingdings" w:hint="default"/>
      </w:rPr>
    </w:lvl>
  </w:abstractNum>
  <w:abstractNum w:abstractNumId="11" w15:restartNumberingAfterBreak="0">
    <w:nsid w:val="1B427B96"/>
    <w:multiLevelType w:val="hybridMultilevel"/>
    <w:tmpl w:val="477CEF9A"/>
    <w:lvl w:ilvl="0" w:tplc="9CECA69E">
      <w:start w:val="1"/>
      <w:numFmt w:val="decimal"/>
      <w:pStyle w:val="1Bullets"/>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095B98"/>
    <w:multiLevelType w:val="hybridMultilevel"/>
    <w:tmpl w:val="54F2503A"/>
    <w:lvl w:ilvl="0" w:tplc="F13C0B70">
      <w:start w:val="1"/>
      <w:numFmt w:val="bullet"/>
      <w:pStyle w:val="BodyBulletL1"/>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3" w15:restartNumberingAfterBreak="0">
    <w:nsid w:val="25928F6F"/>
    <w:multiLevelType w:val="hybridMultilevel"/>
    <w:tmpl w:val="FFFFFFFF"/>
    <w:lvl w:ilvl="0" w:tplc="A1EC8262">
      <w:start w:val="1"/>
      <w:numFmt w:val="bullet"/>
      <w:lvlText w:val=""/>
      <w:lvlJc w:val="left"/>
      <w:pPr>
        <w:ind w:left="720" w:hanging="360"/>
      </w:pPr>
      <w:rPr>
        <w:rFonts w:ascii="Symbol" w:hAnsi="Symbol" w:hint="default"/>
      </w:rPr>
    </w:lvl>
    <w:lvl w:ilvl="1" w:tplc="4712E288">
      <w:start w:val="1"/>
      <w:numFmt w:val="bullet"/>
      <w:lvlText w:val="o"/>
      <w:lvlJc w:val="left"/>
      <w:pPr>
        <w:ind w:left="1440" w:hanging="360"/>
      </w:pPr>
      <w:rPr>
        <w:rFonts w:ascii="Courier New" w:hAnsi="Courier New" w:hint="default"/>
      </w:rPr>
    </w:lvl>
    <w:lvl w:ilvl="2" w:tplc="1C5694CC">
      <w:start w:val="1"/>
      <w:numFmt w:val="bullet"/>
      <w:lvlText w:val=""/>
      <w:lvlJc w:val="left"/>
      <w:pPr>
        <w:ind w:left="2160" w:hanging="360"/>
      </w:pPr>
      <w:rPr>
        <w:rFonts w:ascii="Wingdings" w:hAnsi="Wingdings" w:hint="default"/>
      </w:rPr>
    </w:lvl>
    <w:lvl w:ilvl="3" w:tplc="FAB6D4D2">
      <w:start w:val="1"/>
      <w:numFmt w:val="bullet"/>
      <w:lvlText w:val=""/>
      <w:lvlJc w:val="left"/>
      <w:pPr>
        <w:ind w:left="2880" w:hanging="360"/>
      </w:pPr>
      <w:rPr>
        <w:rFonts w:ascii="Symbol" w:hAnsi="Symbol" w:hint="default"/>
      </w:rPr>
    </w:lvl>
    <w:lvl w:ilvl="4" w:tplc="3744BDEA">
      <w:start w:val="1"/>
      <w:numFmt w:val="bullet"/>
      <w:lvlText w:val="o"/>
      <w:lvlJc w:val="left"/>
      <w:pPr>
        <w:ind w:left="3600" w:hanging="360"/>
      </w:pPr>
      <w:rPr>
        <w:rFonts w:ascii="Courier New" w:hAnsi="Courier New" w:hint="default"/>
      </w:rPr>
    </w:lvl>
    <w:lvl w:ilvl="5" w:tplc="419C8D80">
      <w:start w:val="1"/>
      <w:numFmt w:val="bullet"/>
      <w:lvlText w:val=""/>
      <w:lvlJc w:val="left"/>
      <w:pPr>
        <w:ind w:left="4320" w:hanging="360"/>
      </w:pPr>
      <w:rPr>
        <w:rFonts w:ascii="Wingdings" w:hAnsi="Wingdings" w:hint="default"/>
      </w:rPr>
    </w:lvl>
    <w:lvl w:ilvl="6" w:tplc="EB2C9B4A">
      <w:start w:val="1"/>
      <w:numFmt w:val="bullet"/>
      <w:lvlText w:val=""/>
      <w:lvlJc w:val="left"/>
      <w:pPr>
        <w:ind w:left="5040" w:hanging="360"/>
      </w:pPr>
      <w:rPr>
        <w:rFonts w:ascii="Symbol" w:hAnsi="Symbol" w:hint="default"/>
      </w:rPr>
    </w:lvl>
    <w:lvl w:ilvl="7" w:tplc="0D3C171E">
      <w:start w:val="1"/>
      <w:numFmt w:val="bullet"/>
      <w:lvlText w:val="o"/>
      <w:lvlJc w:val="left"/>
      <w:pPr>
        <w:ind w:left="5760" w:hanging="360"/>
      </w:pPr>
      <w:rPr>
        <w:rFonts w:ascii="Courier New" w:hAnsi="Courier New" w:hint="default"/>
      </w:rPr>
    </w:lvl>
    <w:lvl w:ilvl="8" w:tplc="1A5C82DE">
      <w:start w:val="1"/>
      <w:numFmt w:val="bullet"/>
      <w:lvlText w:val=""/>
      <w:lvlJc w:val="left"/>
      <w:pPr>
        <w:ind w:left="6480" w:hanging="360"/>
      </w:pPr>
      <w:rPr>
        <w:rFonts w:ascii="Wingdings" w:hAnsi="Wingdings" w:hint="default"/>
      </w:rPr>
    </w:lvl>
  </w:abstractNum>
  <w:abstractNum w:abstractNumId="14" w15:restartNumberingAfterBreak="0">
    <w:nsid w:val="25C776EC"/>
    <w:multiLevelType w:val="hybridMultilevel"/>
    <w:tmpl w:val="23168652"/>
    <w:lvl w:ilvl="0" w:tplc="94DE804C">
      <w:start w:val="1"/>
      <w:numFmt w:val="bullet"/>
      <w:pStyle w:val="BodyBulletL3"/>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5" w15:restartNumberingAfterBreak="0">
    <w:nsid w:val="297C258A"/>
    <w:multiLevelType w:val="hybridMultilevel"/>
    <w:tmpl w:val="D42E61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F66090C"/>
    <w:multiLevelType w:val="hybridMultilevel"/>
    <w:tmpl w:val="6FC659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6BA4AB5"/>
    <w:multiLevelType w:val="hybridMultilevel"/>
    <w:tmpl w:val="6D5E1D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75C77C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7D067C"/>
    <w:multiLevelType w:val="hybridMultilevel"/>
    <w:tmpl w:val="32ECF442"/>
    <w:lvl w:ilvl="0" w:tplc="230E30FE">
      <w:start w:val="1"/>
      <w:numFmt w:val="bullet"/>
      <w:lvlText w:val=""/>
      <w:lvlJc w:val="left"/>
      <w:pPr>
        <w:ind w:left="720" w:hanging="360"/>
      </w:pPr>
      <w:rPr>
        <w:rFonts w:ascii="Symbol" w:hAnsi="Symbol" w:hint="default"/>
      </w:rPr>
    </w:lvl>
    <w:lvl w:ilvl="1" w:tplc="CC50B9DE">
      <w:start w:val="1"/>
      <w:numFmt w:val="bullet"/>
      <w:lvlText w:val="o"/>
      <w:lvlJc w:val="left"/>
      <w:pPr>
        <w:ind w:left="1440" w:hanging="360"/>
      </w:pPr>
      <w:rPr>
        <w:rFonts w:ascii="Courier New" w:hAnsi="Courier New" w:hint="default"/>
      </w:rPr>
    </w:lvl>
    <w:lvl w:ilvl="2" w:tplc="0F14D46C">
      <w:start w:val="1"/>
      <w:numFmt w:val="bullet"/>
      <w:lvlText w:val=""/>
      <w:lvlJc w:val="left"/>
      <w:pPr>
        <w:ind w:left="2160" w:hanging="360"/>
      </w:pPr>
      <w:rPr>
        <w:rFonts w:ascii="Wingdings" w:hAnsi="Wingdings" w:hint="default"/>
      </w:rPr>
    </w:lvl>
    <w:lvl w:ilvl="3" w:tplc="D4E05606">
      <w:start w:val="1"/>
      <w:numFmt w:val="bullet"/>
      <w:lvlText w:val=""/>
      <w:lvlJc w:val="left"/>
      <w:pPr>
        <w:ind w:left="2880" w:hanging="360"/>
      </w:pPr>
      <w:rPr>
        <w:rFonts w:ascii="Symbol" w:hAnsi="Symbol" w:hint="default"/>
      </w:rPr>
    </w:lvl>
    <w:lvl w:ilvl="4" w:tplc="BDACE4F4">
      <w:start w:val="1"/>
      <w:numFmt w:val="bullet"/>
      <w:lvlText w:val="o"/>
      <w:lvlJc w:val="left"/>
      <w:pPr>
        <w:ind w:left="3600" w:hanging="360"/>
      </w:pPr>
      <w:rPr>
        <w:rFonts w:ascii="Courier New" w:hAnsi="Courier New" w:hint="default"/>
      </w:rPr>
    </w:lvl>
    <w:lvl w:ilvl="5" w:tplc="E39C7B22">
      <w:start w:val="1"/>
      <w:numFmt w:val="bullet"/>
      <w:lvlText w:val=""/>
      <w:lvlJc w:val="left"/>
      <w:pPr>
        <w:ind w:left="4320" w:hanging="360"/>
      </w:pPr>
      <w:rPr>
        <w:rFonts w:ascii="Wingdings" w:hAnsi="Wingdings" w:hint="default"/>
      </w:rPr>
    </w:lvl>
    <w:lvl w:ilvl="6" w:tplc="6A62C23E">
      <w:start w:val="1"/>
      <w:numFmt w:val="bullet"/>
      <w:lvlText w:val=""/>
      <w:lvlJc w:val="left"/>
      <w:pPr>
        <w:ind w:left="5040" w:hanging="360"/>
      </w:pPr>
      <w:rPr>
        <w:rFonts w:ascii="Symbol" w:hAnsi="Symbol" w:hint="default"/>
      </w:rPr>
    </w:lvl>
    <w:lvl w:ilvl="7" w:tplc="4922196C">
      <w:start w:val="1"/>
      <w:numFmt w:val="bullet"/>
      <w:lvlText w:val="o"/>
      <w:lvlJc w:val="left"/>
      <w:pPr>
        <w:ind w:left="5760" w:hanging="360"/>
      </w:pPr>
      <w:rPr>
        <w:rFonts w:ascii="Courier New" w:hAnsi="Courier New" w:hint="default"/>
      </w:rPr>
    </w:lvl>
    <w:lvl w:ilvl="8" w:tplc="8E6C7016">
      <w:start w:val="1"/>
      <w:numFmt w:val="bullet"/>
      <w:lvlText w:val=""/>
      <w:lvlJc w:val="left"/>
      <w:pPr>
        <w:ind w:left="6480" w:hanging="360"/>
      </w:pPr>
      <w:rPr>
        <w:rFonts w:ascii="Wingdings" w:hAnsi="Wingdings" w:hint="default"/>
      </w:rPr>
    </w:lvl>
  </w:abstractNum>
  <w:abstractNum w:abstractNumId="20" w15:restartNumberingAfterBreak="0">
    <w:nsid w:val="4B134D15"/>
    <w:multiLevelType w:val="hybridMultilevel"/>
    <w:tmpl w:val="C4F47E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C29B31C"/>
    <w:multiLevelType w:val="hybridMultilevel"/>
    <w:tmpl w:val="2AE4CC80"/>
    <w:lvl w:ilvl="0" w:tplc="D8DAC15C">
      <w:start w:val="1"/>
      <w:numFmt w:val="bullet"/>
      <w:lvlText w:val=""/>
      <w:lvlJc w:val="left"/>
      <w:pPr>
        <w:ind w:left="1080" w:hanging="360"/>
      </w:pPr>
      <w:rPr>
        <w:rFonts w:ascii="Symbol" w:hAnsi="Symbol" w:hint="default"/>
      </w:rPr>
    </w:lvl>
    <w:lvl w:ilvl="1" w:tplc="5A303D78">
      <w:start w:val="1"/>
      <w:numFmt w:val="bullet"/>
      <w:lvlText w:val="o"/>
      <w:lvlJc w:val="left"/>
      <w:pPr>
        <w:ind w:left="1800" w:hanging="360"/>
      </w:pPr>
      <w:rPr>
        <w:rFonts w:ascii="Courier New" w:hAnsi="Courier New" w:hint="default"/>
      </w:rPr>
    </w:lvl>
    <w:lvl w:ilvl="2" w:tplc="82DA8CFC">
      <w:start w:val="1"/>
      <w:numFmt w:val="bullet"/>
      <w:lvlText w:val=""/>
      <w:lvlJc w:val="left"/>
      <w:pPr>
        <w:ind w:left="2520" w:hanging="360"/>
      </w:pPr>
      <w:rPr>
        <w:rFonts w:ascii="Wingdings" w:hAnsi="Wingdings" w:hint="default"/>
      </w:rPr>
    </w:lvl>
    <w:lvl w:ilvl="3" w:tplc="30E630EE">
      <w:start w:val="1"/>
      <w:numFmt w:val="bullet"/>
      <w:lvlText w:val=""/>
      <w:lvlJc w:val="left"/>
      <w:pPr>
        <w:ind w:left="3240" w:hanging="360"/>
      </w:pPr>
      <w:rPr>
        <w:rFonts w:ascii="Symbol" w:hAnsi="Symbol" w:hint="default"/>
      </w:rPr>
    </w:lvl>
    <w:lvl w:ilvl="4" w:tplc="A16AD9C6">
      <w:start w:val="1"/>
      <w:numFmt w:val="bullet"/>
      <w:lvlText w:val="o"/>
      <w:lvlJc w:val="left"/>
      <w:pPr>
        <w:ind w:left="3960" w:hanging="360"/>
      </w:pPr>
      <w:rPr>
        <w:rFonts w:ascii="Courier New" w:hAnsi="Courier New" w:hint="default"/>
      </w:rPr>
    </w:lvl>
    <w:lvl w:ilvl="5" w:tplc="040C98B0">
      <w:start w:val="1"/>
      <w:numFmt w:val="bullet"/>
      <w:lvlText w:val=""/>
      <w:lvlJc w:val="left"/>
      <w:pPr>
        <w:ind w:left="4680" w:hanging="360"/>
      </w:pPr>
      <w:rPr>
        <w:rFonts w:ascii="Wingdings" w:hAnsi="Wingdings" w:hint="default"/>
      </w:rPr>
    </w:lvl>
    <w:lvl w:ilvl="6" w:tplc="1952D4DA">
      <w:start w:val="1"/>
      <w:numFmt w:val="bullet"/>
      <w:lvlText w:val=""/>
      <w:lvlJc w:val="left"/>
      <w:pPr>
        <w:ind w:left="5400" w:hanging="360"/>
      </w:pPr>
      <w:rPr>
        <w:rFonts w:ascii="Symbol" w:hAnsi="Symbol" w:hint="default"/>
      </w:rPr>
    </w:lvl>
    <w:lvl w:ilvl="7" w:tplc="678E28AA">
      <w:start w:val="1"/>
      <w:numFmt w:val="bullet"/>
      <w:lvlText w:val="o"/>
      <w:lvlJc w:val="left"/>
      <w:pPr>
        <w:ind w:left="6120" w:hanging="360"/>
      </w:pPr>
      <w:rPr>
        <w:rFonts w:ascii="Courier New" w:hAnsi="Courier New" w:hint="default"/>
      </w:rPr>
    </w:lvl>
    <w:lvl w:ilvl="8" w:tplc="6A024C7C">
      <w:start w:val="1"/>
      <w:numFmt w:val="bullet"/>
      <w:lvlText w:val=""/>
      <w:lvlJc w:val="left"/>
      <w:pPr>
        <w:ind w:left="6840" w:hanging="360"/>
      </w:pPr>
      <w:rPr>
        <w:rFonts w:ascii="Wingdings" w:hAnsi="Wingdings" w:hint="default"/>
      </w:rPr>
    </w:lvl>
  </w:abstractNum>
  <w:abstractNum w:abstractNumId="22" w15:restartNumberingAfterBreak="0">
    <w:nsid w:val="4D700EBC"/>
    <w:multiLevelType w:val="multilevel"/>
    <w:tmpl w:val="77CAF262"/>
    <w:lvl w:ilvl="0">
      <w:start w:val="1"/>
      <w:numFmt w:val="decimal"/>
      <w:pStyle w:val="111Bulletsnumbers"/>
      <w:lvlText w:val="%1."/>
      <w:lvlJc w:val="left"/>
      <w:pPr>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8517294"/>
    <w:multiLevelType w:val="hybridMultilevel"/>
    <w:tmpl w:val="38DE04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5AA7E53"/>
    <w:multiLevelType w:val="hybridMultilevel"/>
    <w:tmpl w:val="05EC9D3A"/>
    <w:lvl w:ilvl="0" w:tplc="1214DCD0">
      <w:start w:val="1"/>
      <w:numFmt w:val="lowerLetter"/>
      <w:pStyle w:val="aBodyBULLETALPHAL1"/>
      <w:lvlText w:val="%1)"/>
      <w:lvlJc w:val="left"/>
      <w:pPr>
        <w:ind w:left="360" w:hanging="360"/>
      </w:pPr>
      <w:rPr>
        <w:rFonts w:hint="default"/>
      </w:rPr>
    </w:lvl>
    <w:lvl w:ilvl="1" w:tplc="14090003">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25" w15:restartNumberingAfterBreak="0">
    <w:nsid w:val="66B33F09"/>
    <w:multiLevelType w:val="hybridMultilevel"/>
    <w:tmpl w:val="D8C82D5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6" w15:restartNumberingAfterBreak="0">
    <w:nsid w:val="6CE061B2"/>
    <w:multiLevelType w:val="hybridMultilevel"/>
    <w:tmpl w:val="FFFFFFFF"/>
    <w:lvl w:ilvl="0" w:tplc="C8F03156">
      <w:start w:val="1"/>
      <w:numFmt w:val="bullet"/>
      <w:lvlText w:val="-"/>
      <w:lvlJc w:val="left"/>
      <w:pPr>
        <w:ind w:left="720" w:hanging="360"/>
      </w:pPr>
      <w:rPr>
        <w:rFonts w:ascii="Aptos" w:hAnsi="Aptos" w:hint="default"/>
      </w:rPr>
    </w:lvl>
    <w:lvl w:ilvl="1" w:tplc="F6A0E04A">
      <w:start w:val="1"/>
      <w:numFmt w:val="bullet"/>
      <w:lvlText w:val="o"/>
      <w:lvlJc w:val="left"/>
      <w:pPr>
        <w:ind w:left="1440" w:hanging="360"/>
      </w:pPr>
      <w:rPr>
        <w:rFonts w:ascii="Courier New" w:hAnsi="Courier New" w:hint="default"/>
      </w:rPr>
    </w:lvl>
    <w:lvl w:ilvl="2" w:tplc="F35E0092">
      <w:start w:val="1"/>
      <w:numFmt w:val="bullet"/>
      <w:lvlText w:val=""/>
      <w:lvlJc w:val="left"/>
      <w:pPr>
        <w:ind w:left="2160" w:hanging="360"/>
      </w:pPr>
      <w:rPr>
        <w:rFonts w:ascii="Wingdings" w:hAnsi="Wingdings" w:hint="default"/>
      </w:rPr>
    </w:lvl>
    <w:lvl w:ilvl="3" w:tplc="36C2FD8A">
      <w:start w:val="1"/>
      <w:numFmt w:val="bullet"/>
      <w:lvlText w:val=""/>
      <w:lvlJc w:val="left"/>
      <w:pPr>
        <w:ind w:left="2880" w:hanging="360"/>
      </w:pPr>
      <w:rPr>
        <w:rFonts w:ascii="Symbol" w:hAnsi="Symbol" w:hint="default"/>
      </w:rPr>
    </w:lvl>
    <w:lvl w:ilvl="4" w:tplc="52F843EC">
      <w:start w:val="1"/>
      <w:numFmt w:val="bullet"/>
      <w:lvlText w:val="o"/>
      <w:lvlJc w:val="left"/>
      <w:pPr>
        <w:ind w:left="3600" w:hanging="360"/>
      </w:pPr>
      <w:rPr>
        <w:rFonts w:ascii="Courier New" w:hAnsi="Courier New" w:hint="default"/>
      </w:rPr>
    </w:lvl>
    <w:lvl w:ilvl="5" w:tplc="33743478">
      <w:start w:val="1"/>
      <w:numFmt w:val="bullet"/>
      <w:lvlText w:val=""/>
      <w:lvlJc w:val="left"/>
      <w:pPr>
        <w:ind w:left="4320" w:hanging="360"/>
      </w:pPr>
      <w:rPr>
        <w:rFonts w:ascii="Wingdings" w:hAnsi="Wingdings" w:hint="default"/>
      </w:rPr>
    </w:lvl>
    <w:lvl w:ilvl="6" w:tplc="465226A2">
      <w:start w:val="1"/>
      <w:numFmt w:val="bullet"/>
      <w:lvlText w:val=""/>
      <w:lvlJc w:val="left"/>
      <w:pPr>
        <w:ind w:left="5040" w:hanging="360"/>
      </w:pPr>
      <w:rPr>
        <w:rFonts w:ascii="Symbol" w:hAnsi="Symbol" w:hint="default"/>
      </w:rPr>
    </w:lvl>
    <w:lvl w:ilvl="7" w:tplc="A09ACC66">
      <w:start w:val="1"/>
      <w:numFmt w:val="bullet"/>
      <w:lvlText w:val="o"/>
      <w:lvlJc w:val="left"/>
      <w:pPr>
        <w:ind w:left="5760" w:hanging="360"/>
      </w:pPr>
      <w:rPr>
        <w:rFonts w:ascii="Courier New" w:hAnsi="Courier New" w:hint="default"/>
      </w:rPr>
    </w:lvl>
    <w:lvl w:ilvl="8" w:tplc="0986CF12">
      <w:start w:val="1"/>
      <w:numFmt w:val="bullet"/>
      <w:lvlText w:val=""/>
      <w:lvlJc w:val="left"/>
      <w:pPr>
        <w:ind w:left="6480" w:hanging="360"/>
      </w:pPr>
      <w:rPr>
        <w:rFonts w:ascii="Wingdings" w:hAnsi="Wingdings" w:hint="default"/>
      </w:rPr>
    </w:lvl>
  </w:abstractNum>
  <w:abstractNum w:abstractNumId="27" w15:restartNumberingAfterBreak="0">
    <w:nsid w:val="6F4923E2"/>
    <w:multiLevelType w:val="hybridMultilevel"/>
    <w:tmpl w:val="86F28C60"/>
    <w:lvl w:ilvl="0" w:tplc="D95C4B40">
      <w:start w:val="1"/>
      <w:numFmt w:val="bullet"/>
      <w:lvlText w:val=""/>
      <w:lvlJc w:val="left"/>
      <w:pPr>
        <w:ind w:left="360" w:hanging="360"/>
      </w:pPr>
      <w:rPr>
        <w:rFonts w:ascii="Symbol" w:hAnsi="Symbol" w:hint="default"/>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4DE27C4"/>
    <w:multiLevelType w:val="multilevel"/>
    <w:tmpl w:val="94D8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6767168">
    <w:abstractNumId w:val="5"/>
  </w:num>
  <w:num w:numId="2" w16cid:durableId="225654070">
    <w:abstractNumId w:val="19"/>
  </w:num>
  <w:num w:numId="3" w16cid:durableId="788864441">
    <w:abstractNumId w:val="0"/>
  </w:num>
  <w:num w:numId="4" w16cid:durableId="1569657234">
    <w:abstractNumId w:val="24"/>
  </w:num>
  <w:num w:numId="5" w16cid:durableId="649408550">
    <w:abstractNumId w:val="3"/>
  </w:num>
  <w:num w:numId="6" w16cid:durableId="1333145644">
    <w:abstractNumId w:val="11"/>
  </w:num>
  <w:num w:numId="7" w16cid:durableId="1720587420">
    <w:abstractNumId w:val="22"/>
  </w:num>
  <w:num w:numId="8" w16cid:durableId="1157456229">
    <w:abstractNumId w:val="2"/>
  </w:num>
  <w:num w:numId="9" w16cid:durableId="1642804993">
    <w:abstractNumId w:val="14"/>
  </w:num>
  <w:num w:numId="10" w16cid:durableId="5520877">
    <w:abstractNumId w:val="12"/>
  </w:num>
  <w:num w:numId="11" w16cid:durableId="191386182">
    <w:abstractNumId w:val="7"/>
  </w:num>
  <w:num w:numId="12" w16cid:durableId="1846898626">
    <w:abstractNumId w:val="17"/>
  </w:num>
  <w:num w:numId="13" w16cid:durableId="1835948355">
    <w:abstractNumId w:val="16"/>
  </w:num>
  <w:num w:numId="14" w16cid:durableId="1702247593">
    <w:abstractNumId w:val="25"/>
  </w:num>
  <w:num w:numId="15" w16cid:durableId="1864858849">
    <w:abstractNumId w:val="6"/>
  </w:num>
  <w:num w:numId="16" w16cid:durableId="546526266">
    <w:abstractNumId w:val="27"/>
  </w:num>
  <w:num w:numId="17" w16cid:durableId="1716393043">
    <w:abstractNumId w:val="28"/>
  </w:num>
  <w:num w:numId="18" w16cid:durableId="154763010">
    <w:abstractNumId w:val="18"/>
  </w:num>
  <w:num w:numId="19" w16cid:durableId="1735398300">
    <w:abstractNumId w:val="13"/>
  </w:num>
  <w:num w:numId="20" w16cid:durableId="1183975399">
    <w:abstractNumId w:val="8"/>
  </w:num>
  <w:num w:numId="21" w16cid:durableId="2062053066">
    <w:abstractNumId w:val="4"/>
  </w:num>
  <w:num w:numId="22" w16cid:durableId="1470633094">
    <w:abstractNumId w:val="1"/>
  </w:num>
  <w:num w:numId="23" w16cid:durableId="327365628">
    <w:abstractNumId w:val="10"/>
  </w:num>
  <w:num w:numId="24" w16cid:durableId="735511517">
    <w:abstractNumId w:val="23"/>
  </w:num>
  <w:num w:numId="25" w16cid:durableId="2141415889">
    <w:abstractNumId w:val="20"/>
  </w:num>
  <w:num w:numId="26" w16cid:durableId="1085106096">
    <w:abstractNumId w:val="9"/>
  </w:num>
  <w:num w:numId="27" w16cid:durableId="1920283565">
    <w:abstractNumId w:val="15"/>
  </w:num>
  <w:num w:numId="28" w16cid:durableId="1052389100">
    <w:abstractNumId w:val="21"/>
  </w:num>
  <w:num w:numId="29" w16cid:durableId="1115563687">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RtaDi1OW31BsflIVFlVbKLaICQmk5zHDxwiFCuiW2vtsJDzJVL8VmNXyLE/3o2BNZLjyCE2San/91sMj/IkCA==" w:salt="3f+8mNdoY/mcqERJZ1JJW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37"/>
    <w:rsid w:val="0000003C"/>
    <w:rsid w:val="00000FEB"/>
    <w:rsid w:val="000012C0"/>
    <w:rsid w:val="00001E8C"/>
    <w:rsid w:val="00002472"/>
    <w:rsid w:val="00002569"/>
    <w:rsid w:val="00002724"/>
    <w:rsid w:val="000028EC"/>
    <w:rsid w:val="00002B98"/>
    <w:rsid w:val="00002D05"/>
    <w:rsid w:val="00003055"/>
    <w:rsid w:val="00003081"/>
    <w:rsid w:val="000032F5"/>
    <w:rsid w:val="000036B3"/>
    <w:rsid w:val="00003E32"/>
    <w:rsid w:val="00004C1A"/>
    <w:rsid w:val="00004FAD"/>
    <w:rsid w:val="000051D8"/>
    <w:rsid w:val="0000552C"/>
    <w:rsid w:val="000055C7"/>
    <w:rsid w:val="00005DCB"/>
    <w:rsid w:val="000062CC"/>
    <w:rsid w:val="00006741"/>
    <w:rsid w:val="00006C6E"/>
    <w:rsid w:val="00010823"/>
    <w:rsid w:val="0001104F"/>
    <w:rsid w:val="000113B1"/>
    <w:rsid w:val="0001309A"/>
    <w:rsid w:val="00013976"/>
    <w:rsid w:val="00013C87"/>
    <w:rsid w:val="00014EE9"/>
    <w:rsid w:val="000156FB"/>
    <w:rsid w:val="00015A56"/>
    <w:rsid w:val="0001613B"/>
    <w:rsid w:val="00016282"/>
    <w:rsid w:val="000165CD"/>
    <w:rsid w:val="0001787F"/>
    <w:rsid w:val="00017B1B"/>
    <w:rsid w:val="00017DD5"/>
    <w:rsid w:val="000206F8"/>
    <w:rsid w:val="00020804"/>
    <w:rsid w:val="00021BE2"/>
    <w:rsid w:val="00021D79"/>
    <w:rsid w:val="00023113"/>
    <w:rsid w:val="00023CED"/>
    <w:rsid w:val="00023F28"/>
    <w:rsid w:val="0002499F"/>
    <w:rsid w:val="00024D0D"/>
    <w:rsid w:val="00025444"/>
    <w:rsid w:val="00025860"/>
    <w:rsid w:val="00025EB4"/>
    <w:rsid w:val="00026D5C"/>
    <w:rsid w:val="000275EC"/>
    <w:rsid w:val="000276DF"/>
    <w:rsid w:val="00030867"/>
    <w:rsid w:val="00030AB5"/>
    <w:rsid w:val="0003178A"/>
    <w:rsid w:val="00032A40"/>
    <w:rsid w:val="000335BA"/>
    <w:rsid w:val="00033C24"/>
    <w:rsid w:val="00036648"/>
    <w:rsid w:val="00036DD8"/>
    <w:rsid w:val="00037721"/>
    <w:rsid w:val="00040A76"/>
    <w:rsid w:val="00041871"/>
    <w:rsid w:val="00041B08"/>
    <w:rsid w:val="00041DBB"/>
    <w:rsid w:val="00042D5C"/>
    <w:rsid w:val="00045234"/>
    <w:rsid w:val="00045A88"/>
    <w:rsid w:val="00045F06"/>
    <w:rsid w:val="00046656"/>
    <w:rsid w:val="00046A1B"/>
    <w:rsid w:val="00046C02"/>
    <w:rsid w:val="00046FC5"/>
    <w:rsid w:val="00047BB9"/>
    <w:rsid w:val="000501CF"/>
    <w:rsid w:val="000513ED"/>
    <w:rsid w:val="00051DA6"/>
    <w:rsid w:val="0005244A"/>
    <w:rsid w:val="00052563"/>
    <w:rsid w:val="00053D4C"/>
    <w:rsid w:val="0005622C"/>
    <w:rsid w:val="0005673E"/>
    <w:rsid w:val="000608AD"/>
    <w:rsid w:val="000620EF"/>
    <w:rsid w:val="000627D3"/>
    <w:rsid w:val="000640C5"/>
    <w:rsid w:val="00064DE9"/>
    <w:rsid w:val="00065275"/>
    <w:rsid w:val="000666AD"/>
    <w:rsid w:val="00066929"/>
    <w:rsid w:val="00066C16"/>
    <w:rsid w:val="00067746"/>
    <w:rsid w:val="00067B78"/>
    <w:rsid w:val="00067BD9"/>
    <w:rsid w:val="00070AB6"/>
    <w:rsid w:val="00070E09"/>
    <w:rsid w:val="00071FC2"/>
    <w:rsid w:val="00071FF6"/>
    <w:rsid w:val="00072AAD"/>
    <w:rsid w:val="000734CF"/>
    <w:rsid w:val="00073AC8"/>
    <w:rsid w:val="000740C6"/>
    <w:rsid w:val="00075357"/>
    <w:rsid w:val="00075B12"/>
    <w:rsid w:val="00075E62"/>
    <w:rsid w:val="0007767F"/>
    <w:rsid w:val="00077D98"/>
    <w:rsid w:val="0008035B"/>
    <w:rsid w:val="00081441"/>
    <w:rsid w:val="00081CB4"/>
    <w:rsid w:val="00082DB6"/>
    <w:rsid w:val="000837C5"/>
    <w:rsid w:val="0008553B"/>
    <w:rsid w:val="00085CD6"/>
    <w:rsid w:val="00085DCF"/>
    <w:rsid w:val="000861BA"/>
    <w:rsid w:val="0008646A"/>
    <w:rsid w:val="000864A8"/>
    <w:rsid w:val="0009073C"/>
    <w:rsid w:val="00092200"/>
    <w:rsid w:val="00092284"/>
    <w:rsid w:val="000928D3"/>
    <w:rsid w:val="00092AC8"/>
    <w:rsid w:val="00093A0E"/>
    <w:rsid w:val="00094601"/>
    <w:rsid w:val="00094693"/>
    <w:rsid w:val="00094F9D"/>
    <w:rsid w:val="00095D51"/>
    <w:rsid w:val="000961FA"/>
    <w:rsid w:val="0009672E"/>
    <w:rsid w:val="0009724F"/>
    <w:rsid w:val="0009725D"/>
    <w:rsid w:val="000976D3"/>
    <w:rsid w:val="00097DA6"/>
    <w:rsid w:val="000A0DC0"/>
    <w:rsid w:val="000A1783"/>
    <w:rsid w:val="000A26D8"/>
    <w:rsid w:val="000A290B"/>
    <w:rsid w:val="000A34CD"/>
    <w:rsid w:val="000A3E56"/>
    <w:rsid w:val="000A4088"/>
    <w:rsid w:val="000A446A"/>
    <w:rsid w:val="000A4791"/>
    <w:rsid w:val="000A4A88"/>
    <w:rsid w:val="000A5C27"/>
    <w:rsid w:val="000A5F6A"/>
    <w:rsid w:val="000A5F73"/>
    <w:rsid w:val="000A82FF"/>
    <w:rsid w:val="000B018E"/>
    <w:rsid w:val="000B0890"/>
    <w:rsid w:val="000B0E8C"/>
    <w:rsid w:val="000B1283"/>
    <w:rsid w:val="000B15E0"/>
    <w:rsid w:val="000B164C"/>
    <w:rsid w:val="000B19C5"/>
    <w:rsid w:val="000B1C31"/>
    <w:rsid w:val="000B25FA"/>
    <w:rsid w:val="000B27B0"/>
    <w:rsid w:val="000B2BB8"/>
    <w:rsid w:val="000B2C9A"/>
    <w:rsid w:val="000B3288"/>
    <w:rsid w:val="000B37A2"/>
    <w:rsid w:val="000B3D31"/>
    <w:rsid w:val="000B3F74"/>
    <w:rsid w:val="000B4477"/>
    <w:rsid w:val="000B5364"/>
    <w:rsid w:val="000B5A10"/>
    <w:rsid w:val="000B5BBE"/>
    <w:rsid w:val="000B63A6"/>
    <w:rsid w:val="000B65BE"/>
    <w:rsid w:val="000B66E6"/>
    <w:rsid w:val="000B6E39"/>
    <w:rsid w:val="000B728C"/>
    <w:rsid w:val="000B7A23"/>
    <w:rsid w:val="000C0442"/>
    <w:rsid w:val="000C0AB4"/>
    <w:rsid w:val="000C23BA"/>
    <w:rsid w:val="000C2A6C"/>
    <w:rsid w:val="000C2E73"/>
    <w:rsid w:val="000C2ED2"/>
    <w:rsid w:val="000C3D62"/>
    <w:rsid w:val="000C4A0D"/>
    <w:rsid w:val="000C4F72"/>
    <w:rsid w:val="000C54BB"/>
    <w:rsid w:val="000C55E3"/>
    <w:rsid w:val="000C56E0"/>
    <w:rsid w:val="000C589C"/>
    <w:rsid w:val="000C6B53"/>
    <w:rsid w:val="000C7875"/>
    <w:rsid w:val="000CF6D0"/>
    <w:rsid w:val="000D0712"/>
    <w:rsid w:val="000D12AC"/>
    <w:rsid w:val="000D2A1C"/>
    <w:rsid w:val="000D2D61"/>
    <w:rsid w:val="000D31D8"/>
    <w:rsid w:val="000D3573"/>
    <w:rsid w:val="000D4A03"/>
    <w:rsid w:val="000D4B68"/>
    <w:rsid w:val="000D4D26"/>
    <w:rsid w:val="000D5630"/>
    <w:rsid w:val="000D5B5C"/>
    <w:rsid w:val="000D5C3F"/>
    <w:rsid w:val="000D5D69"/>
    <w:rsid w:val="000D61D6"/>
    <w:rsid w:val="000D664D"/>
    <w:rsid w:val="000D6C99"/>
    <w:rsid w:val="000D7374"/>
    <w:rsid w:val="000D76FC"/>
    <w:rsid w:val="000D7F23"/>
    <w:rsid w:val="000E08DD"/>
    <w:rsid w:val="000E10A1"/>
    <w:rsid w:val="000E146A"/>
    <w:rsid w:val="000E268C"/>
    <w:rsid w:val="000E2934"/>
    <w:rsid w:val="000E2967"/>
    <w:rsid w:val="000E3251"/>
    <w:rsid w:val="000E420E"/>
    <w:rsid w:val="000E4254"/>
    <w:rsid w:val="000E4915"/>
    <w:rsid w:val="000E4A3E"/>
    <w:rsid w:val="000E69CF"/>
    <w:rsid w:val="000E7DA2"/>
    <w:rsid w:val="000F03C2"/>
    <w:rsid w:val="000F0F5A"/>
    <w:rsid w:val="000F14E1"/>
    <w:rsid w:val="000F1627"/>
    <w:rsid w:val="000F1A61"/>
    <w:rsid w:val="000F2A3E"/>
    <w:rsid w:val="000F2B21"/>
    <w:rsid w:val="000F437E"/>
    <w:rsid w:val="000F44F3"/>
    <w:rsid w:val="000F4D65"/>
    <w:rsid w:val="000F63BA"/>
    <w:rsid w:val="000F6596"/>
    <w:rsid w:val="000F6B34"/>
    <w:rsid w:val="000F73B7"/>
    <w:rsid w:val="000F7516"/>
    <w:rsid w:val="00100AE8"/>
    <w:rsid w:val="0010300D"/>
    <w:rsid w:val="00103719"/>
    <w:rsid w:val="00103B0F"/>
    <w:rsid w:val="001044F3"/>
    <w:rsid w:val="00104511"/>
    <w:rsid w:val="00104F06"/>
    <w:rsid w:val="001052ED"/>
    <w:rsid w:val="0010552C"/>
    <w:rsid w:val="00105842"/>
    <w:rsid w:val="00105C01"/>
    <w:rsid w:val="00105DF5"/>
    <w:rsid w:val="00107443"/>
    <w:rsid w:val="00107BC6"/>
    <w:rsid w:val="00107BD9"/>
    <w:rsid w:val="00107D5C"/>
    <w:rsid w:val="0011058C"/>
    <w:rsid w:val="00111ABC"/>
    <w:rsid w:val="00111E48"/>
    <w:rsid w:val="00113298"/>
    <w:rsid w:val="0011354D"/>
    <w:rsid w:val="001143E5"/>
    <w:rsid w:val="00114D84"/>
    <w:rsid w:val="0011536C"/>
    <w:rsid w:val="0011580F"/>
    <w:rsid w:val="00116E8D"/>
    <w:rsid w:val="00117301"/>
    <w:rsid w:val="00120C61"/>
    <w:rsid w:val="00121324"/>
    <w:rsid w:val="00121ED8"/>
    <w:rsid w:val="00122595"/>
    <w:rsid w:val="001234F9"/>
    <w:rsid w:val="001235E3"/>
    <w:rsid w:val="00124BEF"/>
    <w:rsid w:val="00125B5E"/>
    <w:rsid w:val="00125C26"/>
    <w:rsid w:val="00125E5E"/>
    <w:rsid w:val="00126057"/>
    <w:rsid w:val="001261FC"/>
    <w:rsid w:val="0012622F"/>
    <w:rsid w:val="0012676C"/>
    <w:rsid w:val="00126A51"/>
    <w:rsid w:val="00127280"/>
    <w:rsid w:val="001273EE"/>
    <w:rsid w:val="00127403"/>
    <w:rsid w:val="001275C1"/>
    <w:rsid w:val="00127748"/>
    <w:rsid w:val="00130521"/>
    <w:rsid w:val="00130EF4"/>
    <w:rsid w:val="00131959"/>
    <w:rsid w:val="001319BC"/>
    <w:rsid w:val="0013230A"/>
    <w:rsid w:val="00133632"/>
    <w:rsid w:val="001339CF"/>
    <w:rsid w:val="00134A13"/>
    <w:rsid w:val="00134B81"/>
    <w:rsid w:val="00135C2E"/>
    <w:rsid w:val="00135FDE"/>
    <w:rsid w:val="00136EB1"/>
    <w:rsid w:val="001373A2"/>
    <w:rsid w:val="00140120"/>
    <w:rsid w:val="0014109B"/>
    <w:rsid w:val="0014179D"/>
    <w:rsid w:val="001425DC"/>
    <w:rsid w:val="00142C1D"/>
    <w:rsid w:val="00142D4D"/>
    <w:rsid w:val="00143346"/>
    <w:rsid w:val="001436F4"/>
    <w:rsid w:val="00143C63"/>
    <w:rsid w:val="00143FFF"/>
    <w:rsid w:val="00144132"/>
    <w:rsid w:val="00144782"/>
    <w:rsid w:val="001447E1"/>
    <w:rsid w:val="0014496C"/>
    <w:rsid w:val="00144E4F"/>
    <w:rsid w:val="00146021"/>
    <w:rsid w:val="00146C8F"/>
    <w:rsid w:val="00150E74"/>
    <w:rsid w:val="00151504"/>
    <w:rsid w:val="0015273B"/>
    <w:rsid w:val="00152752"/>
    <w:rsid w:val="001531C0"/>
    <w:rsid w:val="001536C8"/>
    <w:rsid w:val="00153945"/>
    <w:rsid w:val="00153A08"/>
    <w:rsid w:val="001540F0"/>
    <w:rsid w:val="00154DFE"/>
    <w:rsid w:val="00156022"/>
    <w:rsid w:val="00156144"/>
    <w:rsid w:val="00156B23"/>
    <w:rsid w:val="00156E43"/>
    <w:rsid w:val="001577D9"/>
    <w:rsid w:val="00157CC5"/>
    <w:rsid w:val="00161103"/>
    <w:rsid w:val="00161189"/>
    <w:rsid w:val="001639F7"/>
    <w:rsid w:val="00164129"/>
    <w:rsid w:val="001647CC"/>
    <w:rsid w:val="00165A6F"/>
    <w:rsid w:val="00165ADD"/>
    <w:rsid w:val="00166402"/>
    <w:rsid w:val="00166B76"/>
    <w:rsid w:val="001675EE"/>
    <w:rsid w:val="001709AF"/>
    <w:rsid w:val="00170F19"/>
    <w:rsid w:val="00171BD9"/>
    <w:rsid w:val="00172C03"/>
    <w:rsid w:val="001740E5"/>
    <w:rsid w:val="00174D84"/>
    <w:rsid w:val="00175BBC"/>
    <w:rsid w:val="00175F53"/>
    <w:rsid w:val="001760FD"/>
    <w:rsid w:val="001761E2"/>
    <w:rsid w:val="00176B36"/>
    <w:rsid w:val="0017773F"/>
    <w:rsid w:val="001803BF"/>
    <w:rsid w:val="00180670"/>
    <w:rsid w:val="00180933"/>
    <w:rsid w:val="00180BDA"/>
    <w:rsid w:val="0018126E"/>
    <w:rsid w:val="00181349"/>
    <w:rsid w:val="001815CF"/>
    <w:rsid w:val="0018162A"/>
    <w:rsid w:val="00181722"/>
    <w:rsid w:val="001830BF"/>
    <w:rsid w:val="00183D80"/>
    <w:rsid w:val="00183E56"/>
    <w:rsid w:val="001844DE"/>
    <w:rsid w:val="0018453B"/>
    <w:rsid w:val="001845E0"/>
    <w:rsid w:val="0018470F"/>
    <w:rsid w:val="0018483A"/>
    <w:rsid w:val="001851CF"/>
    <w:rsid w:val="00185370"/>
    <w:rsid w:val="00185C7F"/>
    <w:rsid w:val="0018637C"/>
    <w:rsid w:val="00187467"/>
    <w:rsid w:val="0018760F"/>
    <w:rsid w:val="0018792F"/>
    <w:rsid w:val="001901AD"/>
    <w:rsid w:val="00190C1D"/>
    <w:rsid w:val="00191815"/>
    <w:rsid w:val="00191F78"/>
    <w:rsid w:val="00192F70"/>
    <w:rsid w:val="001937D2"/>
    <w:rsid w:val="00193880"/>
    <w:rsid w:val="00193B30"/>
    <w:rsid w:val="001955FF"/>
    <w:rsid w:val="0019619C"/>
    <w:rsid w:val="00196418"/>
    <w:rsid w:val="0019771D"/>
    <w:rsid w:val="001A0730"/>
    <w:rsid w:val="001A0B1B"/>
    <w:rsid w:val="001A0CF5"/>
    <w:rsid w:val="001A1B7D"/>
    <w:rsid w:val="001A21D6"/>
    <w:rsid w:val="001A2273"/>
    <w:rsid w:val="001A5DAB"/>
    <w:rsid w:val="001A64C3"/>
    <w:rsid w:val="001A788C"/>
    <w:rsid w:val="001A7A09"/>
    <w:rsid w:val="001B0149"/>
    <w:rsid w:val="001B02E2"/>
    <w:rsid w:val="001B04FC"/>
    <w:rsid w:val="001B056E"/>
    <w:rsid w:val="001B08A3"/>
    <w:rsid w:val="001B1525"/>
    <w:rsid w:val="001B1864"/>
    <w:rsid w:val="001B1C41"/>
    <w:rsid w:val="001B1F0B"/>
    <w:rsid w:val="001B1F67"/>
    <w:rsid w:val="001B255C"/>
    <w:rsid w:val="001B2EA4"/>
    <w:rsid w:val="001B2ED0"/>
    <w:rsid w:val="001B31EF"/>
    <w:rsid w:val="001B35A1"/>
    <w:rsid w:val="001B39D1"/>
    <w:rsid w:val="001B414E"/>
    <w:rsid w:val="001B4A16"/>
    <w:rsid w:val="001B5A31"/>
    <w:rsid w:val="001B6DE2"/>
    <w:rsid w:val="001B6FDC"/>
    <w:rsid w:val="001B79AB"/>
    <w:rsid w:val="001B7A64"/>
    <w:rsid w:val="001C03DF"/>
    <w:rsid w:val="001C0550"/>
    <w:rsid w:val="001C0D16"/>
    <w:rsid w:val="001C1074"/>
    <w:rsid w:val="001C1348"/>
    <w:rsid w:val="001C2B67"/>
    <w:rsid w:val="001C2F22"/>
    <w:rsid w:val="001C3159"/>
    <w:rsid w:val="001C39B5"/>
    <w:rsid w:val="001C3DB4"/>
    <w:rsid w:val="001C4571"/>
    <w:rsid w:val="001C6B7F"/>
    <w:rsid w:val="001C720A"/>
    <w:rsid w:val="001C7770"/>
    <w:rsid w:val="001D0DB2"/>
    <w:rsid w:val="001D13D7"/>
    <w:rsid w:val="001D35E6"/>
    <w:rsid w:val="001D363F"/>
    <w:rsid w:val="001D434C"/>
    <w:rsid w:val="001D5255"/>
    <w:rsid w:val="001D622A"/>
    <w:rsid w:val="001D63F8"/>
    <w:rsid w:val="001D6480"/>
    <w:rsid w:val="001D65A8"/>
    <w:rsid w:val="001D694B"/>
    <w:rsid w:val="001D6BBF"/>
    <w:rsid w:val="001D780D"/>
    <w:rsid w:val="001D7874"/>
    <w:rsid w:val="001D7FAE"/>
    <w:rsid w:val="001E15AC"/>
    <w:rsid w:val="001E1DC8"/>
    <w:rsid w:val="001E2D3A"/>
    <w:rsid w:val="001E2E72"/>
    <w:rsid w:val="001E3048"/>
    <w:rsid w:val="001E35CA"/>
    <w:rsid w:val="001E3B17"/>
    <w:rsid w:val="001E3F81"/>
    <w:rsid w:val="001E4F33"/>
    <w:rsid w:val="001E5FD7"/>
    <w:rsid w:val="001E6C63"/>
    <w:rsid w:val="001F0513"/>
    <w:rsid w:val="001F19A6"/>
    <w:rsid w:val="001F21FC"/>
    <w:rsid w:val="001F2264"/>
    <w:rsid w:val="001F27EA"/>
    <w:rsid w:val="001F2EDE"/>
    <w:rsid w:val="001F3BB8"/>
    <w:rsid w:val="001F3C2E"/>
    <w:rsid w:val="001F4AA8"/>
    <w:rsid w:val="001F5094"/>
    <w:rsid w:val="001F535D"/>
    <w:rsid w:val="001F6A2B"/>
    <w:rsid w:val="001F6B81"/>
    <w:rsid w:val="001F6BD6"/>
    <w:rsid w:val="001F717C"/>
    <w:rsid w:val="001F78E9"/>
    <w:rsid w:val="00200301"/>
    <w:rsid w:val="002006D8"/>
    <w:rsid w:val="00201C28"/>
    <w:rsid w:val="002037D7"/>
    <w:rsid w:val="00203AD2"/>
    <w:rsid w:val="00204C9E"/>
    <w:rsid w:val="002059DE"/>
    <w:rsid w:val="00205A3A"/>
    <w:rsid w:val="00205E13"/>
    <w:rsid w:val="00206190"/>
    <w:rsid w:val="002065BD"/>
    <w:rsid w:val="002065EF"/>
    <w:rsid w:val="00210F7B"/>
    <w:rsid w:val="00211834"/>
    <w:rsid w:val="00211AE5"/>
    <w:rsid w:val="00211E84"/>
    <w:rsid w:val="002133CE"/>
    <w:rsid w:val="00213788"/>
    <w:rsid w:val="00213D47"/>
    <w:rsid w:val="00213FA3"/>
    <w:rsid w:val="0021416D"/>
    <w:rsid w:val="00214209"/>
    <w:rsid w:val="00214465"/>
    <w:rsid w:val="00214A4A"/>
    <w:rsid w:val="00214EC7"/>
    <w:rsid w:val="00216567"/>
    <w:rsid w:val="00216B53"/>
    <w:rsid w:val="002171DD"/>
    <w:rsid w:val="00217A03"/>
    <w:rsid w:val="0021AAC3"/>
    <w:rsid w:val="0022027A"/>
    <w:rsid w:val="002204CF"/>
    <w:rsid w:val="002215C2"/>
    <w:rsid w:val="00221EFE"/>
    <w:rsid w:val="002227FA"/>
    <w:rsid w:val="002232A7"/>
    <w:rsid w:val="002234ED"/>
    <w:rsid w:val="0022376C"/>
    <w:rsid w:val="002244E2"/>
    <w:rsid w:val="00225057"/>
    <w:rsid w:val="00226776"/>
    <w:rsid w:val="002269C1"/>
    <w:rsid w:val="00226DF7"/>
    <w:rsid w:val="00226EE0"/>
    <w:rsid w:val="00227ACA"/>
    <w:rsid w:val="00227EE0"/>
    <w:rsid w:val="002302D4"/>
    <w:rsid w:val="00231356"/>
    <w:rsid w:val="00231CC1"/>
    <w:rsid w:val="00232032"/>
    <w:rsid w:val="00232981"/>
    <w:rsid w:val="00232F32"/>
    <w:rsid w:val="00232F97"/>
    <w:rsid w:val="00233440"/>
    <w:rsid w:val="00233739"/>
    <w:rsid w:val="00233A57"/>
    <w:rsid w:val="002346C1"/>
    <w:rsid w:val="002354DC"/>
    <w:rsid w:val="002358CC"/>
    <w:rsid w:val="00235AFD"/>
    <w:rsid w:val="0023692A"/>
    <w:rsid w:val="00236E54"/>
    <w:rsid w:val="00236F01"/>
    <w:rsid w:val="002377F4"/>
    <w:rsid w:val="00237E8E"/>
    <w:rsid w:val="002407C6"/>
    <w:rsid w:val="002410B1"/>
    <w:rsid w:val="00241C1E"/>
    <w:rsid w:val="00241F07"/>
    <w:rsid w:val="00242CAE"/>
    <w:rsid w:val="002438E7"/>
    <w:rsid w:val="00244A33"/>
    <w:rsid w:val="002452A6"/>
    <w:rsid w:val="00245AD6"/>
    <w:rsid w:val="0024618A"/>
    <w:rsid w:val="002462D4"/>
    <w:rsid w:val="00246879"/>
    <w:rsid w:val="00246CAE"/>
    <w:rsid w:val="00246E71"/>
    <w:rsid w:val="00251157"/>
    <w:rsid w:val="00251668"/>
    <w:rsid w:val="00251875"/>
    <w:rsid w:val="00252DE7"/>
    <w:rsid w:val="0025398C"/>
    <w:rsid w:val="002540A2"/>
    <w:rsid w:val="00254622"/>
    <w:rsid w:val="002550E5"/>
    <w:rsid w:val="0025511B"/>
    <w:rsid w:val="00255713"/>
    <w:rsid w:val="00255F38"/>
    <w:rsid w:val="002566D6"/>
    <w:rsid w:val="00256D89"/>
    <w:rsid w:val="00256DAB"/>
    <w:rsid w:val="00257EC3"/>
    <w:rsid w:val="0026082E"/>
    <w:rsid w:val="00260AB5"/>
    <w:rsid w:val="00261372"/>
    <w:rsid w:val="00261475"/>
    <w:rsid w:val="00262311"/>
    <w:rsid w:val="00262AF6"/>
    <w:rsid w:val="00262C4D"/>
    <w:rsid w:val="002630CF"/>
    <w:rsid w:val="00263442"/>
    <w:rsid w:val="002636BE"/>
    <w:rsid w:val="00264E5D"/>
    <w:rsid w:val="002659A8"/>
    <w:rsid w:val="00265F75"/>
    <w:rsid w:val="00266719"/>
    <w:rsid w:val="0026739B"/>
    <w:rsid w:val="00270423"/>
    <w:rsid w:val="002707D5"/>
    <w:rsid w:val="0027094D"/>
    <w:rsid w:val="00271680"/>
    <w:rsid w:val="00273063"/>
    <w:rsid w:val="00273A82"/>
    <w:rsid w:val="00273E07"/>
    <w:rsid w:val="00274F5E"/>
    <w:rsid w:val="00275743"/>
    <w:rsid w:val="00275EA3"/>
    <w:rsid w:val="0027603A"/>
    <w:rsid w:val="00276A3A"/>
    <w:rsid w:val="00277A42"/>
    <w:rsid w:val="00280355"/>
    <w:rsid w:val="002803D2"/>
    <w:rsid w:val="002806DA"/>
    <w:rsid w:val="00282521"/>
    <w:rsid w:val="00282975"/>
    <w:rsid w:val="00282C2C"/>
    <w:rsid w:val="002837B4"/>
    <w:rsid w:val="00283D56"/>
    <w:rsid w:val="00284479"/>
    <w:rsid w:val="0028607A"/>
    <w:rsid w:val="002869EC"/>
    <w:rsid w:val="00286E88"/>
    <w:rsid w:val="002871EF"/>
    <w:rsid w:val="0028755F"/>
    <w:rsid w:val="0028799C"/>
    <w:rsid w:val="00287BC3"/>
    <w:rsid w:val="00287CBC"/>
    <w:rsid w:val="00287D33"/>
    <w:rsid w:val="00290A33"/>
    <w:rsid w:val="00290C1A"/>
    <w:rsid w:val="00290E68"/>
    <w:rsid w:val="002911C2"/>
    <w:rsid w:val="0029150E"/>
    <w:rsid w:val="00291727"/>
    <w:rsid w:val="00293045"/>
    <w:rsid w:val="002931AE"/>
    <w:rsid w:val="002939A0"/>
    <w:rsid w:val="00293FE4"/>
    <w:rsid w:val="00295514"/>
    <w:rsid w:val="0029589C"/>
    <w:rsid w:val="00295D5B"/>
    <w:rsid w:val="00296168"/>
    <w:rsid w:val="002966D7"/>
    <w:rsid w:val="00296E33"/>
    <w:rsid w:val="00296EDF"/>
    <w:rsid w:val="0029719F"/>
    <w:rsid w:val="002A01AA"/>
    <w:rsid w:val="002A04FD"/>
    <w:rsid w:val="002A05AF"/>
    <w:rsid w:val="002A0A8D"/>
    <w:rsid w:val="002A0AFD"/>
    <w:rsid w:val="002A0FF9"/>
    <w:rsid w:val="002A2E0B"/>
    <w:rsid w:val="002A3D66"/>
    <w:rsid w:val="002A3D7F"/>
    <w:rsid w:val="002A4B87"/>
    <w:rsid w:val="002A517F"/>
    <w:rsid w:val="002A53ED"/>
    <w:rsid w:val="002A575C"/>
    <w:rsid w:val="002A5944"/>
    <w:rsid w:val="002A6323"/>
    <w:rsid w:val="002A69AB"/>
    <w:rsid w:val="002A6D2E"/>
    <w:rsid w:val="002A7B9D"/>
    <w:rsid w:val="002A7CDE"/>
    <w:rsid w:val="002A7F45"/>
    <w:rsid w:val="002B059E"/>
    <w:rsid w:val="002B16B4"/>
    <w:rsid w:val="002B1F76"/>
    <w:rsid w:val="002B2A2F"/>
    <w:rsid w:val="002B2BE2"/>
    <w:rsid w:val="002B2DA6"/>
    <w:rsid w:val="002B2E31"/>
    <w:rsid w:val="002B49D0"/>
    <w:rsid w:val="002B5122"/>
    <w:rsid w:val="002B5B1F"/>
    <w:rsid w:val="002B5C5D"/>
    <w:rsid w:val="002B67A6"/>
    <w:rsid w:val="002B6C5F"/>
    <w:rsid w:val="002B7D25"/>
    <w:rsid w:val="002B7E5C"/>
    <w:rsid w:val="002C0546"/>
    <w:rsid w:val="002C06DC"/>
    <w:rsid w:val="002C304D"/>
    <w:rsid w:val="002C3104"/>
    <w:rsid w:val="002C3483"/>
    <w:rsid w:val="002C34B4"/>
    <w:rsid w:val="002C47C5"/>
    <w:rsid w:val="002C4855"/>
    <w:rsid w:val="002C546C"/>
    <w:rsid w:val="002C61C0"/>
    <w:rsid w:val="002C6229"/>
    <w:rsid w:val="002C6836"/>
    <w:rsid w:val="002D0BAB"/>
    <w:rsid w:val="002D1061"/>
    <w:rsid w:val="002D2112"/>
    <w:rsid w:val="002D29F9"/>
    <w:rsid w:val="002D31EF"/>
    <w:rsid w:val="002D3466"/>
    <w:rsid w:val="002D4D1C"/>
    <w:rsid w:val="002D4D2B"/>
    <w:rsid w:val="002D55A6"/>
    <w:rsid w:val="002D5697"/>
    <w:rsid w:val="002D5CE1"/>
    <w:rsid w:val="002D626A"/>
    <w:rsid w:val="002D709D"/>
    <w:rsid w:val="002D7B72"/>
    <w:rsid w:val="002E00E3"/>
    <w:rsid w:val="002E0345"/>
    <w:rsid w:val="002E044B"/>
    <w:rsid w:val="002E0471"/>
    <w:rsid w:val="002E11CA"/>
    <w:rsid w:val="002E130C"/>
    <w:rsid w:val="002E22C7"/>
    <w:rsid w:val="002E2B24"/>
    <w:rsid w:val="002E4D07"/>
    <w:rsid w:val="002E5109"/>
    <w:rsid w:val="002E5359"/>
    <w:rsid w:val="002F055F"/>
    <w:rsid w:val="002F106E"/>
    <w:rsid w:val="002F20CD"/>
    <w:rsid w:val="002F254B"/>
    <w:rsid w:val="002F351D"/>
    <w:rsid w:val="002F365C"/>
    <w:rsid w:val="002F3F57"/>
    <w:rsid w:val="002F4391"/>
    <w:rsid w:val="002F457E"/>
    <w:rsid w:val="002F4D85"/>
    <w:rsid w:val="002F58E6"/>
    <w:rsid w:val="002F5B2C"/>
    <w:rsid w:val="002F6420"/>
    <w:rsid w:val="00300063"/>
    <w:rsid w:val="00300621"/>
    <w:rsid w:val="00301B37"/>
    <w:rsid w:val="00301F33"/>
    <w:rsid w:val="003024C3"/>
    <w:rsid w:val="003032B4"/>
    <w:rsid w:val="0030350D"/>
    <w:rsid w:val="003035BD"/>
    <w:rsid w:val="003039C0"/>
    <w:rsid w:val="0030632B"/>
    <w:rsid w:val="00311FCE"/>
    <w:rsid w:val="00312165"/>
    <w:rsid w:val="003127F9"/>
    <w:rsid w:val="00312D23"/>
    <w:rsid w:val="0031384D"/>
    <w:rsid w:val="00313D49"/>
    <w:rsid w:val="00314CA0"/>
    <w:rsid w:val="00314FA1"/>
    <w:rsid w:val="00315AF6"/>
    <w:rsid w:val="00315C15"/>
    <w:rsid w:val="00315E1F"/>
    <w:rsid w:val="003161F5"/>
    <w:rsid w:val="00316B3C"/>
    <w:rsid w:val="003171B3"/>
    <w:rsid w:val="003201AE"/>
    <w:rsid w:val="00320341"/>
    <w:rsid w:val="00320AE0"/>
    <w:rsid w:val="00320C3E"/>
    <w:rsid w:val="0032100F"/>
    <w:rsid w:val="00321111"/>
    <w:rsid w:val="003212D6"/>
    <w:rsid w:val="00322B75"/>
    <w:rsid w:val="00322BA3"/>
    <w:rsid w:val="00322BA5"/>
    <w:rsid w:val="00324F59"/>
    <w:rsid w:val="00325426"/>
    <w:rsid w:val="00325675"/>
    <w:rsid w:val="00326A41"/>
    <w:rsid w:val="00326D9C"/>
    <w:rsid w:val="00327626"/>
    <w:rsid w:val="00327A09"/>
    <w:rsid w:val="00330295"/>
    <w:rsid w:val="00331D30"/>
    <w:rsid w:val="00331D5B"/>
    <w:rsid w:val="00331DB5"/>
    <w:rsid w:val="003325BC"/>
    <w:rsid w:val="00332912"/>
    <w:rsid w:val="00333560"/>
    <w:rsid w:val="00333804"/>
    <w:rsid w:val="00334B44"/>
    <w:rsid w:val="00334B62"/>
    <w:rsid w:val="00334B9D"/>
    <w:rsid w:val="00334BA4"/>
    <w:rsid w:val="00334EA5"/>
    <w:rsid w:val="00335C52"/>
    <w:rsid w:val="00336109"/>
    <w:rsid w:val="003361AC"/>
    <w:rsid w:val="00336ECF"/>
    <w:rsid w:val="0034029D"/>
    <w:rsid w:val="003403B3"/>
    <w:rsid w:val="00340517"/>
    <w:rsid w:val="003418DE"/>
    <w:rsid w:val="00341E9E"/>
    <w:rsid w:val="00342C71"/>
    <w:rsid w:val="0034468D"/>
    <w:rsid w:val="003448B8"/>
    <w:rsid w:val="00344D48"/>
    <w:rsid w:val="00344DE1"/>
    <w:rsid w:val="00345AA8"/>
    <w:rsid w:val="00346053"/>
    <w:rsid w:val="00346637"/>
    <w:rsid w:val="00346C45"/>
    <w:rsid w:val="003471E7"/>
    <w:rsid w:val="00347A6C"/>
    <w:rsid w:val="00347F87"/>
    <w:rsid w:val="00350307"/>
    <w:rsid w:val="00350558"/>
    <w:rsid w:val="00350C4A"/>
    <w:rsid w:val="00350E1D"/>
    <w:rsid w:val="003511C4"/>
    <w:rsid w:val="0035131A"/>
    <w:rsid w:val="00351D47"/>
    <w:rsid w:val="0035324F"/>
    <w:rsid w:val="00353580"/>
    <w:rsid w:val="00354435"/>
    <w:rsid w:val="00354D14"/>
    <w:rsid w:val="00355653"/>
    <w:rsid w:val="00356259"/>
    <w:rsid w:val="00356533"/>
    <w:rsid w:val="00356557"/>
    <w:rsid w:val="00356CC1"/>
    <w:rsid w:val="00356FBB"/>
    <w:rsid w:val="00356FEF"/>
    <w:rsid w:val="00357533"/>
    <w:rsid w:val="00360366"/>
    <w:rsid w:val="00360466"/>
    <w:rsid w:val="00360908"/>
    <w:rsid w:val="00361108"/>
    <w:rsid w:val="003611E2"/>
    <w:rsid w:val="00361C44"/>
    <w:rsid w:val="003629BA"/>
    <w:rsid w:val="00362F0E"/>
    <w:rsid w:val="00364071"/>
    <w:rsid w:val="003643B5"/>
    <w:rsid w:val="00364796"/>
    <w:rsid w:val="0036599B"/>
    <w:rsid w:val="00366D2F"/>
    <w:rsid w:val="00366F8B"/>
    <w:rsid w:val="00367013"/>
    <w:rsid w:val="00367E93"/>
    <w:rsid w:val="00367EF1"/>
    <w:rsid w:val="003702D1"/>
    <w:rsid w:val="003705C0"/>
    <w:rsid w:val="0037092B"/>
    <w:rsid w:val="003710AC"/>
    <w:rsid w:val="003717F8"/>
    <w:rsid w:val="00372913"/>
    <w:rsid w:val="00372FDE"/>
    <w:rsid w:val="00375DFA"/>
    <w:rsid w:val="0037663F"/>
    <w:rsid w:val="003779A1"/>
    <w:rsid w:val="00377DC3"/>
    <w:rsid w:val="00380384"/>
    <w:rsid w:val="003806C3"/>
    <w:rsid w:val="00380E3B"/>
    <w:rsid w:val="00380E85"/>
    <w:rsid w:val="00380EEF"/>
    <w:rsid w:val="0038102C"/>
    <w:rsid w:val="00381086"/>
    <w:rsid w:val="0038290E"/>
    <w:rsid w:val="00384523"/>
    <w:rsid w:val="00384D83"/>
    <w:rsid w:val="0039026F"/>
    <w:rsid w:val="00391A9A"/>
    <w:rsid w:val="0039241D"/>
    <w:rsid w:val="00392AA7"/>
    <w:rsid w:val="003937C8"/>
    <w:rsid w:val="003946D3"/>
    <w:rsid w:val="00394A3A"/>
    <w:rsid w:val="00395F75"/>
    <w:rsid w:val="00396158"/>
    <w:rsid w:val="00396BAB"/>
    <w:rsid w:val="00396E6B"/>
    <w:rsid w:val="003A0355"/>
    <w:rsid w:val="003A042B"/>
    <w:rsid w:val="003A18F8"/>
    <w:rsid w:val="003A20B9"/>
    <w:rsid w:val="003A272E"/>
    <w:rsid w:val="003A3021"/>
    <w:rsid w:val="003A3246"/>
    <w:rsid w:val="003A3523"/>
    <w:rsid w:val="003A3935"/>
    <w:rsid w:val="003A44D7"/>
    <w:rsid w:val="003A4B16"/>
    <w:rsid w:val="003A5014"/>
    <w:rsid w:val="003A5810"/>
    <w:rsid w:val="003A58B5"/>
    <w:rsid w:val="003A5BCB"/>
    <w:rsid w:val="003A5C48"/>
    <w:rsid w:val="003A5FD3"/>
    <w:rsid w:val="003A7474"/>
    <w:rsid w:val="003A780B"/>
    <w:rsid w:val="003A7DDC"/>
    <w:rsid w:val="003B18B7"/>
    <w:rsid w:val="003B2343"/>
    <w:rsid w:val="003B2363"/>
    <w:rsid w:val="003B2A61"/>
    <w:rsid w:val="003B31E1"/>
    <w:rsid w:val="003B36B7"/>
    <w:rsid w:val="003B3BB0"/>
    <w:rsid w:val="003B40A3"/>
    <w:rsid w:val="003B42B8"/>
    <w:rsid w:val="003B455D"/>
    <w:rsid w:val="003B45DB"/>
    <w:rsid w:val="003B5369"/>
    <w:rsid w:val="003B591D"/>
    <w:rsid w:val="003B64E8"/>
    <w:rsid w:val="003B6981"/>
    <w:rsid w:val="003B6BD8"/>
    <w:rsid w:val="003B708F"/>
    <w:rsid w:val="003C00E6"/>
    <w:rsid w:val="003C13D5"/>
    <w:rsid w:val="003C234A"/>
    <w:rsid w:val="003C2855"/>
    <w:rsid w:val="003C2E8E"/>
    <w:rsid w:val="003C3329"/>
    <w:rsid w:val="003C3BF4"/>
    <w:rsid w:val="003C4EED"/>
    <w:rsid w:val="003C4F2A"/>
    <w:rsid w:val="003C5FB7"/>
    <w:rsid w:val="003C7CF3"/>
    <w:rsid w:val="003CED48"/>
    <w:rsid w:val="003D06FC"/>
    <w:rsid w:val="003D0E5B"/>
    <w:rsid w:val="003D0F26"/>
    <w:rsid w:val="003D15EF"/>
    <w:rsid w:val="003D1F86"/>
    <w:rsid w:val="003D231D"/>
    <w:rsid w:val="003D2AE0"/>
    <w:rsid w:val="003D2FE6"/>
    <w:rsid w:val="003D33DB"/>
    <w:rsid w:val="003D366F"/>
    <w:rsid w:val="003D3E1C"/>
    <w:rsid w:val="003D4040"/>
    <w:rsid w:val="003D424E"/>
    <w:rsid w:val="003D496C"/>
    <w:rsid w:val="003D519F"/>
    <w:rsid w:val="003D5515"/>
    <w:rsid w:val="003D6553"/>
    <w:rsid w:val="003D69FA"/>
    <w:rsid w:val="003D7350"/>
    <w:rsid w:val="003D78A9"/>
    <w:rsid w:val="003D7AA0"/>
    <w:rsid w:val="003E0232"/>
    <w:rsid w:val="003E038E"/>
    <w:rsid w:val="003E07DC"/>
    <w:rsid w:val="003E1CB4"/>
    <w:rsid w:val="003E1E85"/>
    <w:rsid w:val="003E30E0"/>
    <w:rsid w:val="003E3B3E"/>
    <w:rsid w:val="003E4269"/>
    <w:rsid w:val="003E456D"/>
    <w:rsid w:val="003E45CD"/>
    <w:rsid w:val="003E4E1B"/>
    <w:rsid w:val="003E51E5"/>
    <w:rsid w:val="003E5334"/>
    <w:rsid w:val="003E5F66"/>
    <w:rsid w:val="003E7553"/>
    <w:rsid w:val="003F1BD7"/>
    <w:rsid w:val="003F25BF"/>
    <w:rsid w:val="003F3426"/>
    <w:rsid w:val="003F3A59"/>
    <w:rsid w:val="003F3F98"/>
    <w:rsid w:val="003F4841"/>
    <w:rsid w:val="003F50B3"/>
    <w:rsid w:val="003F548F"/>
    <w:rsid w:val="003F5FE1"/>
    <w:rsid w:val="003F6B95"/>
    <w:rsid w:val="004002E8"/>
    <w:rsid w:val="004005AA"/>
    <w:rsid w:val="004007F0"/>
    <w:rsid w:val="0040083C"/>
    <w:rsid w:val="0040140F"/>
    <w:rsid w:val="004014C6"/>
    <w:rsid w:val="00401DCF"/>
    <w:rsid w:val="00402546"/>
    <w:rsid w:val="004029BE"/>
    <w:rsid w:val="00403160"/>
    <w:rsid w:val="004032A5"/>
    <w:rsid w:val="00403A97"/>
    <w:rsid w:val="00403AFF"/>
    <w:rsid w:val="00404094"/>
    <w:rsid w:val="0040462A"/>
    <w:rsid w:val="0040479C"/>
    <w:rsid w:val="00404A59"/>
    <w:rsid w:val="00404EF8"/>
    <w:rsid w:val="00405B26"/>
    <w:rsid w:val="00405B4B"/>
    <w:rsid w:val="00405F25"/>
    <w:rsid w:val="0040641B"/>
    <w:rsid w:val="00407B36"/>
    <w:rsid w:val="00410585"/>
    <w:rsid w:val="00411056"/>
    <w:rsid w:val="004112F8"/>
    <w:rsid w:val="004120D3"/>
    <w:rsid w:val="004129C9"/>
    <w:rsid w:val="00412FC7"/>
    <w:rsid w:val="0041316B"/>
    <w:rsid w:val="00415863"/>
    <w:rsid w:val="00415890"/>
    <w:rsid w:val="00415A34"/>
    <w:rsid w:val="00416DC3"/>
    <w:rsid w:val="0041E9E4"/>
    <w:rsid w:val="004205C4"/>
    <w:rsid w:val="00421AE3"/>
    <w:rsid w:val="004225EF"/>
    <w:rsid w:val="0042271B"/>
    <w:rsid w:val="00424587"/>
    <w:rsid w:val="00424C6D"/>
    <w:rsid w:val="0042582F"/>
    <w:rsid w:val="004258B2"/>
    <w:rsid w:val="0042656B"/>
    <w:rsid w:val="0042684C"/>
    <w:rsid w:val="00426B5F"/>
    <w:rsid w:val="004312E3"/>
    <w:rsid w:val="004314F6"/>
    <w:rsid w:val="00432579"/>
    <w:rsid w:val="00434724"/>
    <w:rsid w:val="00434B61"/>
    <w:rsid w:val="00434EFD"/>
    <w:rsid w:val="00436D3F"/>
    <w:rsid w:val="00436F45"/>
    <w:rsid w:val="0044085B"/>
    <w:rsid w:val="00440928"/>
    <w:rsid w:val="00440E03"/>
    <w:rsid w:val="004410D7"/>
    <w:rsid w:val="004410E2"/>
    <w:rsid w:val="00441237"/>
    <w:rsid w:val="004414CC"/>
    <w:rsid w:val="004418D8"/>
    <w:rsid w:val="00442098"/>
    <w:rsid w:val="004428D9"/>
    <w:rsid w:val="00443A0C"/>
    <w:rsid w:val="00443B8E"/>
    <w:rsid w:val="004445F3"/>
    <w:rsid w:val="004446AC"/>
    <w:rsid w:val="00444D85"/>
    <w:rsid w:val="00444DD6"/>
    <w:rsid w:val="00444FA4"/>
    <w:rsid w:val="00446B8F"/>
    <w:rsid w:val="00447634"/>
    <w:rsid w:val="00447A5E"/>
    <w:rsid w:val="00450036"/>
    <w:rsid w:val="004500BC"/>
    <w:rsid w:val="004523E6"/>
    <w:rsid w:val="00452E82"/>
    <w:rsid w:val="00453636"/>
    <w:rsid w:val="00454FE2"/>
    <w:rsid w:val="0045520F"/>
    <w:rsid w:val="004557A7"/>
    <w:rsid w:val="00456446"/>
    <w:rsid w:val="0045686F"/>
    <w:rsid w:val="00457564"/>
    <w:rsid w:val="00457947"/>
    <w:rsid w:val="00457F9E"/>
    <w:rsid w:val="00460E40"/>
    <w:rsid w:val="004616DF"/>
    <w:rsid w:val="00461D6C"/>
    <w:rsid w:val="00461F2C"/>
    <w:rsid w:val="004629AF"/>
    <w:rsid w:val="0046315A"/>
    <w:rsid w:val="00463855"/>
    <w:rsid w:val="0046395C"/>
    <w:rsid w:val="0046444B"/>
    <w:rsid w:val="00465224"/>
    <w:rsid w:val="0046550D"/>
    <w:rsid w:val="00466688"/>
    <w:rsid w:val="004678D6"/>
    <w:rsid w:val="00470277"/>
    <w:rsid w:val="004707D0"/>
    <w:rsid w:val="00470AA0"/>
    <w:rsid w:val="00470B70"/>
    <w:rsid w:val="00470EA6"/>
    <w:rsid w:val="00470F5A"/>
    <w:rsid w:val="004714F7"/>
    <w:rsid w:val="004723FF"/>
    <w:rsid w:val="00473850"/>
    <w:rsid w:val="00474139"/>
    <w:rsid w:val="00475203"/>
    <w:rsid w:val="00475614"/>
    <w:rsid w:val="00475C6D"/>
    <w:rsid w:val="004762DA"/>
    <w:rsid w:val="00476B3D"/>
    <w:rsid w:val="00476DAF"/>
    <w:rsid w:val="00477ACF"/>
    <w:rsid w:val="00477EDF"/>
    <w:rsid w:val="00480662"/>
    <w:rsid w:val="00481272"/>
    <w:rsid w:val="0048129B"/>
    <w:rsid w:val="0048133D"/>
    <w:rsid w:val="00481BD3"/>
    <w:rsid w:val="00482FEA"/>
    <w:rsid w:val="004831D9"/>
    <w:rsid w:val="004833B3"/>
    <w:rsid w:val="004842D2"/>
    <w:rsid w:val="00484DAF"/>
    <w:rsid w:val="004900C1"/>
    <w:rsid w:val="00490127"/>
    <w:rsid w:val="00491962"/>
    <w:rsid w:val="00491FE8"/>
    <w:rsid w:val="00492384"/>
    <w:rsid w:val="00492BC4"/>
    <w:rsid w:val="0049441D"/>
    <w:rsid w:val="004944E3"/>
    <w:rsid w:val="00494D21"/>
    <w:rsid w:val="00495F0C"/>
    <w:rsid w:val="00496409"/>
    <w:rsid w:val="00496D96"/>
    <w:rsid w:val="00497157"/>
    <w:rsid w:val="00497583"/>
    <w:rsid w:val="00497BC3"/>
    <w:rsid w:val="004A0AF0"/>
    <w:rsid w:val="004A11B0"/>
    <w:rsid w:val="004A1853"/>
    <w:rsid w:val="004A19FD"/>
    <w:rsid w:val="004A2A93"/>
    <w:rsid w:val="004A2E5B"/>
    <w:rsid w:val="004A2ED1"/>
    <w:rsid w:val="004A33C8"/>
    <w:rsid w:val="004A36FE"/>
    <w:rsid w:val="004A384B"/>
    <w:rsid w:val="004A5802"/>
    <w:rsid w:val="004A6297"/>
    <w:rsid w:val="004A6F6A"/>
    <w:rsid w:val="004A75BF"/>
    <w:rsid w:val="004A7E8A"/>
    <w:rsid w:val="004B14BC"/>
    <w:rsid w:val="004B29CB"/>
    <w:rsid w:val="004B35F1"/>
    <w:rsid w:val="004B3648"/>
    <w:rsid w:val="004B46F8"/>
    <w:rsid w:val="004B485A"/>
    <w:rsid w:val="004B4ACD"/>
    <w:rsid w:val="004B4B63"/>
    <w:rsid w:val="004B5418"/>
    <w:rsid w:val="004B5435"/>
    <w:rsid w:val="004B5A61"/>
    <w:rsid w:val="004B5AD3"/>
    <w:rsid w:val="004B745C"/>
    <w:rsid w:val="004C0786"/>
    <w:rsid w:val="004C078A"/>
    <w:rsid w:val="004C13AB"/>
    <w:rsid w:val="004C1714"/>
    <w:rsid w:val="004C2C64"/>
    <w:rsid w:val="004C3273"/>
    <w:rsid w:val="004C3284"/>
    <w:rsid w:val="004C3352"/>
    <w:rsid w:val="004C40B2"/>
    <w:rsid w:val="004C4319"/>
    <w:rsid w:val="004C5016"/>
    <w:rsid w:val="004C53CF"/>
    <w:rsid w:val="004C589C"/>
    <w:rsid w:val="004C597E"/>
    <w:rsid w:val="004C5981"/>
    <w:rsid w:val="004C5C8F"/>
    <w:rsid w:val="004C704A"/>
    <w:rsid w:val="004C777C"/>
    <w:rsid w:val="004C7C9A"/>
    <w:rsid w:val="004D0569"/>
    <w:rsid w:val="004D080C"/>
    <w:rsid w:val="004D0AEA"/>
    <w:rsid w:val="004D0CC2"/>
    <w:rsid w:val="004D147A"/>
    <w:rsid w:val="004D1DC9"/>
    <w:rsid w:val="004D26A8"/>
    <w:rsid w:val="004D271A"/>
    <w:rsid w:val="004D2AE4"/>
    <w:rsid w:val="004D3379"/>
    <w:rsid w:val="004D37A3"/>
    <w:rsid w:val="004D4D9D"/>
    <w:rsid w:val="004D526E"/>
    <w:rsid w:val="004D5C01"/>
    <w:rsid w:val="004D64BA"/>
    <w:rsid w:val="004D6522"/>
    <w:rsid w:val="004D67CA"/>
    <w:rsid w:val="004D7EC0"/>
    <w:rsid w:val="004E060F"/>
    <w:rsid w:val="004E0ABE"/>
    <w:rsid w:val="004E0E51"/>
    <w:rsid w:val="004E129D"/>
    <w:rsid w:val="004E1929"/>
    <w:rsid w:val="004E1C47"/>
    <w:rsid w:val="004E21C8"/>
    <w:rsid w:val="004E3FAE"/>
    <w:rsid w:val="004E41B0"/>
    <w:rsid w:val="004E447E"/>
    <w:rsid w:val="004E4B3C"/>
    <w:rsid w:val="004E5832"/>
    <w:rsid w:val="004E5CFC"/>
    <w:rsid w:val="004E6AF6"/>
    <w:rsid w:val="004E6B4B"/>
    <w:rsid w:val="004E729D"/>
    <w:rsid w:val="004F0DB3"/>
    <w:rsid w:val="004F1B14"/>
    <w:rsid w:val="004F339F"/>
    <w:rsid w:val="004F3928"/>
    <w:rsid w:val="004F42DC"/>
    <w:rsid w:val="004F4306"/>
    <w:rsid w:val="004F48EA"/>
    <w:rsid w:val="004F611D"/>
    <w:rsid w:val="004F6683"/>
    <w:rsid w:val="004F712D"/>
    <w:rsid w:val="004F7900"/>
    <w:rsid w:val="004F7CFE"/>
    <w:rsid w:val="0050060E"/>
    <w:rsid w:val="005008CA"/>
    <w:rsid w:val="00500B1A"/>
    <w:rsid w:val="00501FC0"/>
    <w:rsid w:val="00503E7D"/>
    <w:rsid w:val="00504435"/>
    <w:rsid w:val="005045D7"/>
    <w:rsid w:val="00504D81"/>
    <w:rsid w:val="00505602"/>
    <w:rsid w:val="005058CE"/>
    <w:rsid w:val="00505D86"/>
    <w:rsid w:val="005061E4"/>
    <w:rsid w:val="00506AD4"/>
    <w:rsid w:val="00507AC0"/>
    <w:rsid w:val="00507EB5"/>
    <w:rsid w:val="00510924"/>
    <w:rsid w:val="00510F78"/>
    <w:rsid w:val="005110CF"/>
    <w:rsid w:val="00511694"/>
    <w:rsid w:val="00511D32"/>
    <w:rsid w:val="005128EC"/>
    <w:rsid w:val="00513D63"/>
    <w:rsid w:val="005144AD"/>
    <w:rsid w:val="00514C5C"/>
    <w:rsid w:val="00514FFE"/>
    <w:rsid w:val="0051525E"/>
    <w:rsid w:val="005153F8"/>
    <w:rsid w:val="00517DA0"/>
    <w:rsid w:val="0052056B"/>
    <w:rsid w:val="0052071B"/>
    <w:rsid w:val="00520C31"/>
    <w:rsid w:val="00521B89"/>
    <w:rsid w:val="00521DD1"/>
    <w:rsid w:val="005220F6"/>
    <w:rsid w:val="00524B11"/>
    <w:rsid w:val="00524C4F"/>
    <w:rsid w:val="00524DF0"/>
    <w:rsid w:val="0052650D"/>
    <w:rsid w:val="00526540"/>
    <w:rsid w:val="0052669A"/>
    <w:rsid w:val="00527045"/>
    <w:rsid w:val="00527156"/>
    <w:rsid w:val="00530CB5"/>
    <w:rsid w:val="00531013"/>
    <w:rsid w:val="0053196C"/>
    <w:rsid w:val="00531ED8"/>
    <w:rsid w:val="0053358F"/>
    <w:rsid w:val="005335A8"/>
    <w:rsid w:val="00533853"/>
    <w:rsid w:val="00533C49"/>
    <w:rsid w:val="005340FB"/>
    <w:rsid w:val="00534FCE"/>
    <w:rsid w:val="0053579D"/>
    <w:rsid w:val="00535EEC"/>
    <w:rsid w:val="00536C06"/>
    <w:rsid w:val="00537B82"/>
    <w:rsid w:val="00542F06"/>
    <w:rsid w:val="00543CFB"/>
    <w:rsid w:val="00544290"/>
    <w:rsid w:val="005453F0"/>
    <w:rsid w:val="00545BBE"/>
    <w:rsid w:val="00545D8E"/>
    <w:rsid w:val="00545FAF"/>
    <w:rsid w:val="005465F9"/>
    <w:rsid w:val="0054769F"/>
    <w:rsid w:val="00550BED"/>
    <w:rsid w:val="00550E79"/>
    <w:rsid w:val="00551507"/>
    <w:rsid w:val="0055250E"/>
    <w:rsid w:val="00552B93"/>
    <w:rsid w:val="00553132"/>
    <w:rsid w:val="005532ED"/>
    <w:rsid w:val="005563AC"/>
    <w:rsid w:val="00556460"/>
    <w:rsid w:val="00556DE0"/>
    <w:rsid w:val="00557209"/>
    <w:rsid w:val="00557E72"/>
    <w:rsid w:val="0056064D"/>
    <w:rsid w:val="00561718"/>
    <w:rsid w:val="00562106"/>
    <w:rsid w:val="0056268B"/>
    <w:rsid w:val="0056290E"/>
    <w:rsid w:val="00562E38"/>
    <w:rsid w:val="00563C04"/>
    <w:rsid w:val="00563E21"/>
    <w:rsid w:val="00566313"/>
    <w:rsid w:val="00566360"/>
    <w:rsid w:val="005665AD"/>
    <w:rsid w:val="00566B6D"/>
    <w:rsid w:val="00566F87"/>
    <w:rsid w:val="005673C1"/>
    <w:rsid w:val="00567C63"/>
    <w:rsid w:val="00567FE9"/>
    <w:rsid w:val="0057096B"/>
    <w:rsid w:val="00571FA7"/>
    <w:rsid w:val="00572063"/>
    <w:rsid w:val="005722C8"/>
    <w:rsid w:val="00572584"/>
    <w:rsid w:val="005725A0"/>
    <w:rsid w:val="00573B3C"/>
    <w:rsid w:val="0057582A"/>
    <w:rsid w:val="00575A0B"/>
    <w:rsid w:val="005765E9"/>
    <w:rsid w:val="005766F1"/>
    <w:rsid w:val="00576A85"/>
    <w:rsid w:val="00582734"/>
    <w:rsid w:val="00582D92"/>
    <w:rsid w:val="005831FF"/>
    <w:rsid w:val="0058330D"/>
    <w:rsid w:val="00583D2F"/>
    <w:rsid w:val="0058420D"/>
    <w:rsid w:val="0058445F"/>
    <w:rsid w:val="005848DD"/>
    <w:rsid w:val="005854B7"/>
    <w:rsid w:val="0058608F"/>
    <w:rsid w:val="005861BE"/>
    <w:rsid w:val="005861C5"/>
    <w:rsid w:val="0058623D"/>
    <w:rsid w:val="00586C86"/>
    <w:rsid w:val="00587CD4"/>
    <w:rsid w:val="00590A17"/>
    <w:rsid w:val="005910E9"/>
    <w:rsid w:val="00591CD6"/>
    <w:rsid w:val="00592EB4"/>
    <w:rsid w:val="00593067"/>
    <w:rsid w:val="0059357F"/>
    <w:rsid w:val="005936A8"/>
    <w:rsid w:val="0059390B"/>
    <w:rsid w:val="00593AE6"/>
    <w:rsid w:val="005946E3"/>
    <w:rsid w:val="00595396"/>
    <w:rsid w:val="005968FC"/>
    <w:rsid w:val="00596A70"/>
    <w:rsid w:val="00597275"/>
    <w:rsid w:val="005A0236"/>
    <w:rsid w:val="005A058C"/>
    <w:rsid w:val="005A19D2"/>
    <w:rsid w:val="005A1EDB"/>
    <w:rsid w:val="005A2B91"/>
    <w:rsid w:val="005A2E90"/>
    <w:rsid w:val="005A2FD9"/>
    <w:rsid w:val="005A2FFB"/>
    <w:rsid w:val="005A3284"/>
    <w:rsid w:val="005A36A5"/>
    <w:rsid w:val="005A3E2F"/>
    <w:rsid w:val="005A4F47"/>
    <w:rsid w:val="005A5E4F"/>
    <w:rsid w:val="005A6EAE"/>
    <w:rsid w:val="005A733E"/>
    <w:rsid w:val="005A74FD"/>
    <w:rsid w:val="005A77A0"/>
    <w:rsid w:val="005A79DA"/>
    <w:rsid w:val="005A7A7A"/>
    <w:rsid w:val="005B08DB"/>
    <w:rsid w:val="005B0A5B"/>
    <w:rsid w:val="005B1744"/>
    <w:rsid w:val="005B191F"/>
    <w:rsid w:val="005B1EAE"/>
    <w:rsid w:val="005B2564"/>
    <w:rsid w:val="005B3440"/>
    <w:rsid w:val="005B3FD6"/>
    <w:rsid w:val="005B439B"/>
    <w:rsid w:val="005B44EC"/>
    <w:rsid w:val="005B49C4"/>
    <w:rsid w:val="005B50C4"/>
    <w:rsid w:val="005B522C"/>
    <w:rsid w:val="005B5597"/>
    <w:rsid w:val="005B58C1"/>
    <w:rsid w:val="005B627D"/>
    <w:rsid w:val="005B6E7D"/>
    <w:rsid w:val="005B7277"/>
    <w:rsid w:val="005C04BF"/>
    <w:rsid w:val="005C0F33"/>
    <w:rsid w:val="005C1112"/>
    <w:rsid w:val="005C12AC"/>
    <w:rsid w:val="005C1918"/>
    <w:rsid w:val="005C20E9"/>
    <w:rsid w:val="005C2989"/>
    <w:rsid w:val="005C2DE1"/>
    <w:rsid w:val="005C484E"/>
    <w:rsid w:val="005C48D1"/>
    <w:rsid w:val="005C4B9E"/>
    <w:rsid w:val="005C4C1F"/>
    <w:rsid w:val="005C57C3"/>
    <w:rsid w:val="005C5BE1"/>
    <w:rsid w:val="005C6AC8"/>
    <w:rsid w:val="005C7732"/>
    <w:rsid w:val="005C7900"/>
    <w:rsid w:val="005C7B32"/>
    <w:rsid w:val="005CB0B3"/>
    <w:rsid w:val="005D0604"/>
    <w:rsid w:val="005D0B2F"/>
    <w:rsid w:val="005D120D"/>
    <w:rsid w:val="005D1242"/>
    <w:rsid w:val="005D1BC0"/>
    <w:rsid w:val="005D25EE"/>
    <w:rsid w:val="005D3263"/>
    <w:rsid w:val="005D32FD"/>
    <w:rsid w:val="005D33E1"/>
    <w:rsid w:val="005D4892"/>
    <w:rsid w:val="005D48A5"/>
    <w:rsid w:val="005D4EE4"/>
    <w:rsid w:val="005D6528"/>
    <w:rsid w:val="005D7482"/>
    <w:rsid w:val="005D7AE9"/>
    <w:rsid w:val="005D7B40"/>
    <w:rsid w:val="005E0AB4"/>
    <w:rsid w:val="005E0B47"/>
    <w:rsid w:val="005E0E1A"/>
    <w:rsid w:val="005E1537"/>
    <w:rsid w:val="005E20C6"/>
    <w:rsid w:val="005E26AE"/>
    <w:rsid w:val="005E26E8"/>
    <w:rsid w:val="005E30A5"/>
    <w:rsid w:val="005E34D6"/>
    <w:rsid w:val="005E36E7"/>
    <w:rsid w:val="005E3A9C"/>
    <w:rsid w:val="005E3E5D"/>
    <w:rsid w:val="005E4A3C"/>
    <w:rsid w:val="005E53E0"/>
    <w:rsid w:val="005E54AC"/>
    <w:rsid w:val="005E608B"/>
    <w:rsid w:val="005E60BF"/>
    <w:rsid w:val="005E76B9"/>
    <w:rsid w:val="005E7A68"/>
    <w:rsid w:val="005F025D"/>
    <w:rsid w:val="005F0D31"/>
    <w:rsid w:val="005F0ED6"/>
    <w:rsid w:val="005F2531"/>
    <w:rsid w:val="005F3691"/>
    <w:rsid w:val="005F4D83"/>
    <w:rsid w:val="005F5852"/>
    <w:rsid w:val="005F7A2A"/>
    <w:rsid w:val="005F7BFD"/>
    <w:rsid w:val="005F7F67"/>
    <w:rsid w:val="00601600"/>
    <w:rsid w:val="0060191A"/>
    <w:rsid w:val="006019B2"/>
    <w:rsid w:val="0060251C"/>
    <w:rsid w:val="00602AFC"/>
    <w:rsid w:val="00602D86"/>
    <w:rsid w:val="00602F1E"/>
    <w:rsid w:val="006065DC"/>
    <w:rsid w:val="00606A1F"/>
    <w:rsid w:val="00607380"/>
    <w:rsid w:val="0060789E"/>
    <w:rsid w:val="00609885"/>
    <w:rsid w:val="006100C0"/>
    <w:rsid w:val="00610192"/>
    <w:rsid w:val="00610A91"/>
    <w:rsid w:val="00610DC0"/>
    <w:rsid w:val="00610EA7"/>
    <w:rsid w:val="00611371"/>
    <w:rsid w:val="00611E5A"/>
    <w:rsid w:val="00612B9B"/>
    <w:rsid w:val="00612C84"/>
    <w:rsid w:val="006130F0"/>
    <w:rsid w:val="006131CA"/>
    <w:rsid w:val="00613C15"/>
    <w:rsid w:val="00613D5F"/>
    <w:rsid w:val="006142EB"/>
    <w:rsid w:val="00614B89"/>
    <w:rsid w:val="006158A1"/>
    <w:rsid w:val="00615A3C"/>
    <w:rsid w:val="0061740C"/>
    <w:rsid w:val="0061746A"/>
    <w:rsid w:val="0062015A"/>
    <w:rsid w:val="006206A1"/>
    <w:rsid w:val="0062191F"/>
    <w:rsid w:val="0062280C"/>
    <w:rsid w:val="00623227"/>
    <w:rsid w:val="00623F01"/>
    <w:rsid w:val="006242F2"/>
    <w:rsid w:val="00624A92"/>
    <w:rsid w:val="00624FBF"/>
    <w:rsid w:val="00625396"/>
    <w:rsid w:val="00626EB5"/>
    <w:rsid w:val="00626F3D"/>
    <w:rsid w:val="00627000"/>
    <w:rsid w:val="006274F2"/>
    <w:rsid w:val="0062772D"/>
    <w:rsid w:val="0063033E"/>
    <w:rsid w:val="00630777"/>
    <w:rsid w:val="00631D69"/>
    <w:rsid w:val="0063224E"/>
    <w:rsid w:val="006323CC"/>
    <w:rsid w:val="00632C07"/>
    <w:rsid w:val="00633CEA"/>
    <w:rsid w:val="006340D8"/>
    <w:rsid w:val="006345C1"/>
    <w:rsid w:val="0063582F"/>
    <w:rsid w:val="00635D22"/>
    <w:rsid w:val="00637F38"/>
    <w:rsid w:val="0064196C"/>
    <w:rsid w:val="00641C2F"/>
    <w:rsid w:val="006424DA"/>
    <w:rsid w:val="006439D3"/>
    <w:rsid w:val="00643A21"/>
    <w:rsid w:val="00643F8D"/>
    <w:rsid w:val="00643FDB"/>
    <w:rsid w:val="00644EBE"/>
    <w:rsid w:val="006452E4"/>
    <w:rsid w:val="00645604"/>
    <w:rsid w:val="00645A5F"/>
    <w:rsid w:val="006462C8"/>
    <w:rsid w:val="00646FB5"/>
    <w:rsid w:val="0064712B"/>
    <w:rsid w:val="006475EA"/>
    <w:rsid w:val="0065123D"/>
    <w:rsid w:val="006516BB"/>
    <w:rsid w:val="006516F3"/>
    <w:rsid w:val="00651CBC"/>
    <w:rsid w:val="00651E03"/>
    <w:rsid w:val="00651F10"/>
    <w:rsid w:val="0065281F"/>
    <w:rsid w:val="00653214"/>
    <w:rsid w:val="0065469E"/>
    <w:rsid w:val="00654EC4"/>
    <w:rsid w:val="006557D7"/>
    <w:rsid w:val="00655845"/>
    <w:rsid w:val="00655D77"/>
    <w:rsid w:val="00655F2C"/>
    <w:rsid w:val="0065678B"/>
    <w:rsid w:val="00656857"/>
    <w:rsid w:val="00656FBE"/>
    <w:rsid w:val="006575FD"/>
    <w:rsid w:val="00657C48"/>
    <w:rsid w:val="0066012A"/>
    <w:rsid w:val="00660351"/>
    <w:rsid w:val="00660FEE"/>
    <w:rsid w:val="00661527"/>
    <w:rsid w:val="00661A60"/>
    <w:rsid w:val="006624D6"/>
    <w:rsid w:val="00662C48"/>
    <w:rsid w:val="0066381E"/>
    <w:rsid w:val="006647EB"/>
    <w:rsid w:val="00664F13"/>
    <w:rsid w:val="00665DFB"/>
    <w:rsid w:val="006660FB"/>
    <w:rsid w:val="00666B70"/>
    <w:rsid w:val="0067017E"/>
    <w:rsid w:val="00670DED"/>
    <w:rsid w:val="00671204"/>
    <w:rsid w:val="006715C3"/>
    <w:rsid w:val="00671989"/>
    <w:rsid w:val="0067260F"/>
    <w:rsid w:val="006729F8"/>
    <w:rsid w:val="00672DCD"/>
    <w:rsid w:val="00673932"/>
    <w:rsid w:val="00673AE4"/>
    <w:rsid w:val="006743C7"/>
    <w:rsid w:val="00675835"/>
    <w:rsid w:val="00676664"/>
    <w:rsid w:val="006766C9"/>
    <w:rsid w:val="00676A4E"/>
    <w:rsid w:val="00677603"/>
    <w:rsid w:val="006778DB"/>
    <w:rsid w:val="00677A2F"/>
    <w:rsid w:val="00681529"/>
    <w:rsid w:val="00681F68"/>
    <w:rsid w:val="006829E6"/>
    <w:rsid w:val="00683814"/>
    <w:rsid w:val="00683A52"/>
    <w:rsid w:val="00685634"/>
    <w:rsid w:val="00685AA5"/>
    <w:rsid w:val="00686094"/>
    <w:rsid w:val="0068695C"/>
    <w:rsid w:val="00686B07"/>
    <w:rsid w:val="006871D8"/>
    <w:rsid w:val="00687AAB"/>
    <w:rsid w:val="00687C41"/>
    <w:rsid w:val="00690332"/>
    <w:rsid w:val="00690F48"/>
    <w:rsid w:val="00691056"/>
    <w:rsid w:val="0069149B"/>
    <w:rsid w:val="0069181D"/>
    <w:rsid w:val="006924AE"/>
    <w:rsid w:val="00693A09"/>
    <w:rsid w:val="00693EA0"/>
    <w:rsid w:val="006943AC"/>
    <w:rsid w:val="00694F7F"/>
    <w:rsid w:val="0069505D"/>
    <w:rsid w:val="00695411"/>
    <w:rsid w:val="0069670E"/>
    <w:rsid w:val="0069673E"/>
    <w:rsid w:val="006A0128"/>
    <w:rsid w:val="006A1322"/>
    <w:rsid w:val="006A13CF"/>
    <w:rsid w:val="006A177C"/>
    <w:rsid w:val="006A1ED3"/>
    <w:rsid w:val="006A2EB4"/>
    <w:rsid w:val="006A2EDA"/>
    <w:rsid w:val="006A32D3"/>
    <w:rsid w:val="006A389A"/>
    <w:rsid w:val="006A4B68"/>
    <w:rsid w:val="006A4C7D"/>
    <w:rsid w:val="006A5D0C"/>
    <w:rsid w:val="006A5FD9"/>
    <w:rsid w:val="006A636E"/>
    <w:rsid w:val="006A6439"/>
    <w:rsid w:val="006A6595"/>
    <w:rsid w:val="006A6964"/>
    <w:rsid w:val="006A69CA"/>
    <w:rsid w:val="006A6BBB"/>
    <w:rsid w:val="006A732A"/>
    <w:rsid w:val="006A745E"/>
    <w:rsid w:val="006A78A3"/>
    <w:rsid w:val="006A7F30"/>
    <w:rsid w:val="006AD06B"/>
    <w:rsid w:val="006B1FE4"/>
    <w:rsid w:val="006B2712"/>
    <w:rsid w:val="006B3681"/>
    <w:rsid w:val="006B5530"/>
    <w:rsid w:val="006B71F2"/>
    <w:rsid w:val="006B74AC"/>
    <w:rsid w:val="006C007B"/>
    <w:rsid w:val="006C021C"/>
    <w:rsid w:val="006C09AF"/>
    <w:rsid w:val="006C11A1"/>
    <w:rsid w:val="006C2F1E"/>
    <w:rsid w:val="006C325B"/>
    <w:rsid w:val="006C33FB"/>
    <w:rsid w:val="006C3A98"/>
    <w:rsid w:val="006C3B58"/>
    <w:rsid w:val="006C3CC9"/>
    <w:rsid w:val="006C3F63"/>
    <w:rsid w:val="006C43F9"/>
    <w:rsid w:val="006C4795"/>
    <w:rsid w:val="006C4B64"/>
    <w:rsid w:val="006C5F41"/>
    <w:rsid w:val="006C623B"/>
    <w:rsid w:val="006C6BBB"/>
    <w:rsid w:val="006C6D9A"/>
    <w:rsid w:val="006C7FEF"/>
    <w:rsid w:val="006D0F2A"/>
    <w:rsid w:val="006D18F2"/>
    <w:rsid w:val="006D2055"/>
    <w:rsid w:val="006D216A"/>
    <w:rsid w:val="006D220D"/>
    <w:rsid w:val="006D529B"/>
    <w:rsid w:val="006D67DB"/>
    <w:rsid w:val="006D69ED"/>
    <w:rsid w:val="006D6B8C"/>
    <w:rsid w:val="006D74F9"/>
    <w:rsid w:val="006E0C41"/>
    <w:rsid w:val="006E1042"/>
    <w:rsid w:val="006E1151"/>
    <w:rsid w:val="006E1CF5"/>
    <w:rsid w:val="006E2346"/>
    <w:rsid w:val="006E3A77"/>
    <w:rsid w:val="006E4028"/>
    <w:rsid w:val="006E404C"/>
    <w:rsid w:val="006E4529"/>
    <w:rsid w:val="006E4C26"/>
    <w:rsid w:val="006E5350"/>
    <w:rsid w:val="006E669F"/>
    <w:rsid w:val="006E7518"/>
    <w:rsid w:val="006E7716"/>
    <w:rsid w:val="006F01FD"/>
    <w:rsid w:val="006F05C5"/>
    <w:rsid w:val="006F07CC"/>
    <w:rsid w:val="006F0874"/>
    <w:rsid w:val="006F0926"/>
    <w:rsid w:val="006F1138"/>
    <w:rsid w:val="006F13EA"/>
    <w:rsid w:val="006F18D0"/>
    <w:rsid w:val="006F2EC2"/>
    <w:rsid w:val="006F3E7A"/>
    <w:rsid w:val="006F4D1E"/>
    <w:rsid w:val="006F51FB"/>
    <w:rsid w:val="006F543E"/>
    <w:rsid w:val="006F6196"/>
    <w:rsid w:val="006F61E4"/>
    <w:rsid w:val="006F62BA"/>
    <w:rsid w:val="006F71D1"/>
    <w:rsid w:val="006F723F"/>
    <w:rsid w:val="006F72F9"/>
    <w:rsid w:val="006F75BF"/>
    <w:rsid w:val="006F7AA3"/>
    <w:rsid w:val="00700176"/>
    <w:rsid w:val="00700E58"/>
    <w:rsid w:val="007019C3"/>
    <w:rsid w:val="00702E25"/>
    <w:rsid w:val="0070352E"/>
    <w:rsid w:val="0070374F"/>
    <w:rsid w:val="00703A27"/>
    <w:rsid w:val="007044D9"/>
    <w:rsid w:val="0070547F"/>
    <w:rsid w:val="00706783"/>
    <w:rsid w:val="0070695F"/>
    <w:rsid w:val="00706E47"/>
    <w:rsid w:val="00707382"/>
    <w:rsid w:val="00707397"/>
    <w:rsid w:val="007076CD"/>
    <w:rsid w:val="007078E7"/>
    <w:rsid w:val="00707F74"/>
    <w:rsid w:val="00710154"/>
    <w:rsid w:val="0071156C"/>
    <w:rsid w:val="00711902"/>
    <w:rsid w:val="00712965"/>
    <w:rsid w:val="00712E97"/>
    <w:rsid w:val="0071367D"/>
    <w:rsid w:val="00713707"/>
    <w:rsid w:val="0071397C"/>
    <w:rsid w:val="00713FA3"/>
    <w:rsid w:val="00714B32"/>
    <w:rsid w:val="00714BB8"/>
    <w:rsid w:val="00714CB1"/>
    <w:rsid w:val="00714F2D"/>
    <w:rsid w:val="00715391"/>
    <w:rsid w:val="00715C3B"/>
    <w:rsid w:val="00715C50"/>
    <w:rsid w:val="007162F3"/>
    <w:rsid w:val="00720262"/>
    <w:rsid w:val="00720F85"/>
    <w:rsid w:val="007216E1"/>
    <w:rsid w:val="007221F4"/>
    <w:rsid w:val="007236C3"/>
    <w:rsid w:val="00723D00"/>
    <w:rsid w:val="00724766"/>
    <w:rsid w:val="00724E00"/>
    <w:rsid w:val="007253B9"/>
    <w:rsid w:val="007266EB"/>
    <w:rsid w:val="007268AB"/>
    <w:rsid w:val="00726F35"/>
    <w:rsid w:val="00727B63"/>
    <w:rsid w:val="00731541"/>
    <w:rsid w:val="00731831"/>
    <w:rsid w:val="007319A8"/>
    <w:rsid w:val="00732552"/>
    <w:rsid w:val="0073262B"/>
    <w:rsid w:val="007327AC"/>
    <w:rsid w:val="00732DB7"/>
    <w:rsid w:val="007332E3"/>
    <w:rsid w:val="0073432E"/>
    <w:rsid w:val="007345B1"/>
    <w:rsid w:val="00734640"/>
    <w:rsid w:val="00734925"/>
    <w:rsid w:val="007356C9"/>
    <w:rsid w:val="00736A14"/>
    <w:rsid w:val="00741F99"/>
    <w:rsid w:val="00742915"/>
    <w:rsid w:val="00742989"/>
    <w:rsid w:val="007429A1"/>
    <w:rsid w:val="007431F4"/>
    <w:rsid w:val="00743C80"/>
    <w:rsid w:val="00745E24"/>
    <w:rsid w:val="00745FFD"/>
    <w:rsid w:val="0075067F"/>
    <w:rsid w:val="007512B7"/>
    <w:rsid w:val="00751562"/>
    <w:rsid w:val="0075186B"/>
    <w:rsid w:val="00751A08"/>
    <w:rsid w:val="00751FF3"/>
    <w:rsid w:val="007533E0"/>
    <w:rsid w:val="0075403D"/>
    <w:rsid w:val="00755210"/>
    <w:rsid w:val="007567DE"/>
    <w:rsid w:val="00756A79"/>
    <w:rsid w:val="00756D3A"/>
    <w:rsid w:val="00757516"/>
    <w:rsid w:val="00760B88"/>
    <w:rsid w:val="00760D8E"/>
    <w:rsid w:val="0076132F"/>
    <w:rsid w:val="007621D7"/>
    <w:rsid w:val="00762C89"/>
    <w:rsid w:val="00762EE5"/>
    <w:rsid w:val="00762F78"/>
    <w:rsid w:val="007638F7"/>
    <w:rsid w:val="007644E6"/>
    <w:rsid w:val="007647C5"/>
    <w:rsid w:val="00764EB2"/>
    <w:rsid w:val="00765B5F"/>
    <w:rsid w:val="00765B8A"/>
    <w:rsid w:val="0076693F"/>
    <w:rsid w:val="00766C8E"/>
    <w:rsid w:val="00766D70"/>
    <w:rsid w:val="007671BC"/>
    <w:rsid w:val="00767F14"/>
    <w:rsid w:val="007701CB"/>
    <w:rsid w:val="00770401"/>
    <w:rsid w:val="00770CC8"/>
    <w:rsid w:val="00771724"/>
    <w:rsid w:val="00771BB7"/>
    <w:rsid w:val="00771D04"/>
    <w:rsid w:val="00772631"/>
    <w:rsid w:val="00774475"/>
    <w:rsid w:val="00774629"/>
    <w:rsid w:val="0077527B"/>
    <w:rsid w:val="00776930"/>
    <w:rsid w:val="00776B77"/>
    <w:rsid w:val="007771D9"/>
    <w:rsid w:val="00777451"/>
    <w:rsid w:val="00777D80"/>
    <w:rsid w:val="0078114E"/>
    <w:rsid w:val="007815E0"/>
    <w:rsid w:val="00781931"/>
    <w:rsid w:val="00782F74"/>
    <w:rsid w:val="00783877"/>
    <w:rsid w:val="007850BC"/>
    <w:rsid w:val="00785439"/>
    <w:rsid w:val="00786853"/>
    <w:rsid w:val="00786B2E"/>
    <w:rsid w:val="00786E86"/>
    <w:rsid w:val="00786F20"/>
    <w:rsid w:val="00787354"/>
    <w:rsid w:val="007874CD"/>
    <w:rsid w:val="0078758B"/>
    <w:rsid w:val="00790017"/>
    <w:rsid w:val="00790C69"/>
    <w:rsid w:val="00791600"/>
    <w:rsid w:val="00791969"/>
    <w:rsid w:val="00791A8A"/>
    <w:rsid w:val="00791D70"/>
    <w:rsid w:val="00792866"/>
    <w:rsid w:val="00792E07"/>
    <w:rsid w:val="00793BB5"/>
    <w:rsid w:val="00793D01"/>
    <w:rsid w:val="0079540C"/>
    <w:rsid w:val="007974B1"/>
    <w:rsid w:val="0079F1D2"/>
    <w:rsid w:val="007A02A7"/>
    <w:rsid w:val="007A1095"/>
    <w:rsid w:val="007A10C3"/>
    <w:rsid w:val="007A3142"/>
    <w:rsid w:val="007A32A7"/>
    <w:rsid w:val="007A3DF6"/>
    <w:rsid w:val="007A4D57"/>
    <w:rsid w:val="007A5485"/>
    <w:rsid w:val="007A54B3"/>
    <w:rsid w:val="007A55C5"/>
    <w:rsid w:val="007A641E"/>
    <w:rsid w:val="007A6604"/>
    <w:rsid w:val="007A6B29"/>
    <w:rsid w:val="007A70ED"/>
    <w:rsid w:val="007B19A7"/>
    <w:rsid w:val="007B1C5E"/>
    <w:rsid w:val="007B28E9"/>
    <w:rsid w:val="007B2A74"/>
    <w:rsid w:val="007B2CCA"/>
    <w:rsid w:val="007B40DB"/>
    <w:rsid w:val="007B423B"/>
    <w:rsid w:val="007B4274"/>
    <w:rsid w:val="007B4864"/>
    <w:rsid w:val="007B54DE"/>
    <w:rsid w:val="007B55AD"/>
    <w:rsid w:val="007B7033"/>
    <w:rsid w:val="007B77BD"/>
    <w:rsid w:val="007B7DA7"/>
    <w:rsid w:val="007B7F87"/>
    <w:rsid w:val="007C1430"/>
    <w:rsid w:val="007C15DE"/>
    <w:rsid w:val="007C174C"/>
    <w:rsid w:val="007C1E29"/>
    <w:rsid w:val="007C20CF"/>
    <w:rsid w:val="007C260A"/>
    <w:rsid w:val="007C39AE"/>
    <w:rsid w:val="007C3F5E"/>
    <w:rsid w:val="007C4793"/>
    <w:rsid w:val="007C4915"/>
    <w:rsid w:val="007C49F8"/>
    <w:rsid w:val="007C5B58"/>
    <w:rsid w:val="007C6BA6"/>
    <w:rsid w:val="007C6ECC"/>
    <w:rsid w:val="007C7AA8"/>
    <w:rsid w:val="007D0155"/>
    <w:rsid w:val="007D03C6"/>
    <w:rsid w:val="007D112A"/>
    <w:rsid w:val="007D22CD"/>
    <w:rsid w:val="007D2510"/>
    <w:rsid w:val="007D25AF"/>
    <w:rsid w:val="007D299A"/>
    <w:rsid w:val="007D3B37"/>
    <w:rsid w:val="007D3B69"/>
    <w:rsid w:val="007D4CCC"/>
    <w:rsid w:val="007D537E"/>
    <w:rsid w:val="007D620A"/>
    <w:rsid w:val="007D63A7"/>
    <w:rsid w:val="007D658B"/>
    <w:rsid w:val="007D6847"/>
    <w:rsid w:val="007D7DA0"/>
    <w:rsid w:val="007D7E96"/>
    <w:rsid w:val="007D7F83"/>
    <w:rsid w:val="007E02AC"/>
    <w:rsid w:val="007E0D3B"/>
    <w:rsid w:val="007E1960"/>
    <w:rsid w:val="007E1ECC"/>
    <w:rsid w:val="007E21B6"/>
    <w:rsid w:val="007E2387"/>
    <w:rsid w:val="007E2BB3"/>
    <w:rsid w:val="007E2FB8"/>
    <w:rsid w:val="007E30E8"/>
    <w:rsid w:val="007E3146"/>
    <w:rsid w:val="007E3460"/>
    <w:rsid w:val="007E399F"/>
    <w:rsid w:val="007E3FAE"/>
    <w:rsid w:val="007E4398"/>
    <w:rsid w:val="007E64CD"/>
    <w:rsid w:val="007E6834"/>
    <w:rsid w:val="007E6939"/>
    <w:rsid w:val="007E6C22"/>
    <w:rsid w:val="007E77A3"/>
    <w:rsid w:val="007E7A2C"/>
    <w:rsid w:val="007F0AF1"/>
    <w:rsid w:val="007F11CF"/>
    <w:rsid w:val="007F133B"/>
    <w:rsid w:val="007F15A4"/>
    <w:rsid w:val="007F19C8"/>
    <w:rsid w:val="007F2392"/>
    <w:rsid w:val="007F26A0"/>
    <w:rsid w:val="007F2D18"/>
    <w:rsid w:val="007F3471"/>
    <w:rsid w:val="007F3B12"/>
    <w:rsid w:val="007F542B"/>
    <w:rsid w:val="007F553E"/>
    <w:rsid w:val="007F5604"/>
    <w:rsid w:val="007F56D6"/>
    <w:rsid w:val="007F5BC2"/>
    <w:rsid w:val="007F5D31"/>
    <w:rsid w:val="007F5E8D"/>
    <w:rsid w:val="007F66CC"/>
    <w:rsid w:val="007F66DB"/>
    <w:rsid w:val="007F69A6"/>
    <w:rsid w:val="007F7285"/>
    <w:rsid w:val="007F7301"/>
    <w:rsid w:val="00800136"/>
    <w:rsid w:val="008005BD"/>
    <w:rsid w:val="008009A4"/>
    <w:rsid w:val="00800E2E"/>
    <w:rsid w:val="00801149"/>
    <w:rsid w:val="00803461"/>
    <w:rsid w:val="00804560"/>
    <w:rsid w:val="00804F31"/>
    <w:rsid w:val="0080518A"/>
    <w:rsid w:val="00806E57"/>
    <w:rsid w:val="00807F0A"/>
    <w:rsid w:val="0081002D"/>
    <w:rsid w:val="008100A6"/>
    <w:rsid w:val="008108EE"/>
    <w:rsid w:val="00811C45"/>
    <w:rsid w:val="008129B8"/>
    <w:rsid w:val="0081540C"/>
    <w:rsid w:val="008164C6"/>
    <w:rsid w:val="00816764"/>
    <w:rsid w:val="00816CD8"/>
    <w:rsid w:val="00816E24"/>
    <w:rsid w:val="0081758C"/>
    <w:rsid w:val="00817D53"/>
    <w:rsid w:val="008200AA"/>
    <w:rsid w:val="00820B68"/>
    <w:rsid w:val="0082176C"/>
    <w:rsid w:val="008217E2"/>
    <w:rsid w:val="00821B88"/>
    <w:rsid w:val="00822849"/>
    <w:rsid w:val="00822942"/>
    <w:rsid w:val="008231C4"/>
    <w:rsid w:val="00823A02"/>
    <w:rsid w:val="00825750"/>
    <w:rsid w:val="00825974"/>
    <w:rsid w:val="00825C79"/>
    <w:rsid w:val="00825F9A"/>
    <w:rsid w:val="00826EA9"/>
    <w:rsid w:val="0082743B"/>
    <w:rsid w:val="00830A47"/>
    <w:rsid w:val="0083106E"/>
    <w:rsid w:val="00831918"/>
    <w:rsid w:val="00831B0F"/>
    <w:rsid w:val="00831B47"/>
    <w:rsid w:val="00832210"/>
    <w:rsid w:val="008334F0"/>
    <w:rsid w:val="00833C32"/>
    <w:rsid w:val="00834721"/>
    <w:rsid w:val="00834FAF"/>
    <w:rsid w:val="00834FE3"/>
    <w:rsid w:val="00835596"/>
    <w:rsid w:val="0083561F"/>
    <w:rsid w:val="00835AC7"/>
    <w:rsid w:val="00836092"/>
    <w:rsid w:val="00836A90"/>
    <w:rsid w:val="008375A6"/>
    <w:rsid w:val="00837736"/>
    <w:rsid w:val="008405D2"/>
    <w:rsid w:val="0084069D"/>
    <w:rsid w:val="008407EB"/>
    <w:rsid w:val="00840CF1"/>
    <w:rsid w:val="00841A9D"/>
    <w:rsid w:val="00841D1D"/>
    <w:rsid w:val="00841EA4"/>
    <w:rsid w:val="008424A4"/>
    <w:rsid w:val="008428B8"/>
    <w:rsid w:val="00842D36"/>
    <w:rsid w:val="00843012"/>
    <w:rsid w:val="00843FE9"/>
    <w:rsid w:val="00846744"/>
    <w:rsid w:val="00846B1D"/>
    <w:rsid w:val="00846FE3"/>
    <w:rsid w:val="00847732"/>
    <w:rsid w:val="00847E45"/>
    <w:rsid w:val="00847FD9"/>
    <w:rsid w:val="008500F1"/>
    <w:rsid w:val="0085016F"/>
    <w:rsid w:val="008501F0"/>
    <w:rsid w:val="0085066D"/>
    <w:rsid w:val="00850EE3"/>
    <w:rsid w:val="00851A7E"/>
    <w:rsid w:val="008521A9"/>
    <w:rsid w:val="0085251A"/>
    <w:rsid w:val="00852831"/>
    <w:rsid w:val="00852DAA"/>
    <w:rsid w:val="008534E4"/>
    <w:rsid w:val="00853E08"/>
    <w:rsid w:val="00854115"/>
    <w:rsid w:val="00854212"/>
    <w:rsid w:val="00855FFF"/>
    <w:rsid w:val="0085631C"/>
    <w:rsid w:val="00856B0E"/>
    <w:rsid w:val="008573E1"/>
    <w:rsid w:val="008601A8"/>
    <w:rsid w:val="0086090F"/>
    <w:rsid w:val="008611E1"/>
    <w:rsid w:val="008618C4"/>
    <w:rsid w:val="00861C11"/>
    <w:rsid w:val="00863AF5"/>
    <w:rsid w:val="00863E7E"/>
    <w:rsid w:val="0086559E"/>
    <w:rsid w:val="00865D79"/>
    <w:rsid w:val="00865DBB"/>
    <w:rsid w:val="00866701"/>
    <w:rsid w:val="00866E44"/>
    <w:rsid w:val="00866F29"/>
    <w:rsid w:val="00870416"/>
    <w:rsid w:val="00870447"/>
    <w:rsid w:val="00870645"/>
    <w:rsid w:val="00870B27"/>
    <w:rsid w:val="00871232"/>
    <w:rsid w:val="00872F15"/>
    <w:rsid w:val="00873161"/>
    <w:rsid w:val="00873B4F"/>
    <w:rsid w:val="00873BF0"/>
    <w:rsid w:val="00873EF9"/>
    <w:rsid w:val="00874974"/>
    <w:rsid w:val="00874D7C"/>
    <w:rsid w:val="00875D2D"/>
    <w:rsid w:val="00876A9E"/>
    <w:rsid w:val="00877C01"/>
    <w:rsid w:val="00877F4E"/>
    <w:rsid w:val="00877F5F"/>
    <w:rsid w:val="00880217"/>
    <w:rsid w:val="00881217"/>
    <w:rsid w:val="00882645"/>
    <w:rsid w:val="00882777"/>
    <w:rsid w:val="00882BEF"/>
    <w:rsid w:val="00882F24"/>
    <w:rsid w:val="008835E6"/>
    <w:rsid w:val="00884665"/>
    <w:rsid w:val="008849DF"/>
    <w:rsid w:val="0088544E"/>
    <w:rsid w:val="00885631"/>
    <w:rsid w:val="00886B65"/>
    <w:rsid w:val="00886C99"/>
    <w:rsid w:val="00886E19"/>
    <w:rsid w:val="008871BE"/>
    <w:rsid w:val="0088754A"/>
    <w:rsid w:val="008904EF"/>
    <w:rsid w:val="00891165"/>
    <w:rsid w:val="00893032"/>
    <w:rsid w:val="00893358"/>
    <w:rsid w:val="00893C8B"/>
    <w:rsid w:val="00894848"/>
    <w:rsid w:val="00894ADD"/>
    <w:rsid w:val="00894D90"/>
    <w:rsid w:val="00894E41"/>
    <w:rsid w:val="00896320"/>
    <w:rsid w:val="00896CC8"/>
    <w:rsid w:val="00896CDE"/>
    <w:rsid w:val="0089780D"/>
    <w:rsid w:val="008A1102"/>
    <w:rsid w:val="008A190B"/>
    <w:rsid w:val="008A19C2"/>
    <w:rsid w:val="008A36CA"/>
    <w:rsid w:val="008A3C45"/>
    <w:rsid w:val="008A4019"/>
    <w:rsid w:val="008A4A55"/>
    <w:rsid w:val="008A4DEE"/>
    <w:rsid w:val="008A57E5"/>
    <w:rsid w:val="008A5BAE"/>
    <w:rsid w:val="008A6127"/>
    <w:rsid w:val="008A69AF"/>
    <w:rsid w:val="008A74EF"/>
    <w:rsid w:val="008A7B0C"/>
    <w:rsid w:val="008A7C0A"/>
    <w:rsid w:val="008A7DEA"/>
    <w:rsid w:val="008B1914"/>
    <w:rsid w:val="008B1FD5"/>
    <w:rsid w:val="008B20C2"/>
    <w:rsid w:val="008B2E69"/>
    <w:rsid w:val="008B4344"/>
    <w:rsid w:val="008B7658"/>
    <w:rsid w:val="008C00AB"/>
    <w:rsid w:val="008C14A2"/>
    <w:rsid w:val="008C237E"/>
    <w:rsid w:val="008C2CEA"/>
    <w:rsid w:val="008C32FC"/>
    <w:rsid w:val="008C4742"/>
    <w:rsid w:val="008C4746"/>
    <w:rsid w:val="008C488D"/>
    <w:rsid w:val="008C55E0"/>
    <w:rsid w:val="008C6351"/>
    <w:rsid w:val="008C6943"/>
    <w:rsid w:val="008C6E84"/>
    <w:rsid w:val="008D0772"/>
    <w:rsid w:val="008D1D24"/>
    <w:rsid w:val="008D1D5F"/>
    <w:rsid w:val="008D287D"/>
    <w:rsid w:val="008D3C02"/>
    <w:rsid w:val="008D44EB"/>
    <w:rsid w:val="008D5318"/>
    <w:rsid w:val="008D5ADE"/>
    <w:rsid w:val="008D5DBD"/>
    <w:rsid w:val="008D6FA8"/>
    <w:rsid w:val="008D787C"/>
    <w:rsid w:val="008E015E"/>
    <w:rsid w:val="008E0C1B"/>
    <w:rsid w:val="008E0DC5"/>
    <w:rsid w:val="008E0F8D"/>
    <w:rsid w:val="008E1575"/>
    <w:rsid w:val="008E1B2B"/>
    <w:rsid w:val="008E3532"/>
    <w:rsid w:val="008E3D4B"/>
    <w:rsid w:val="008E3DC9"/>
    <w:rsid w:val="008E433E"/>
    <w:rsid w:val="008E47CB"/>
    <w:rsid w:val="008E503B"/>
    <w:rsid w:val="008E50B5"/>
    <w:rsid w:val="008E632A"/>
    <w:rsid w:val="008E63C2"/>
    <w:rsid w:val="008E6578"/>
    <w:rsid w:val="008E6DCC"/>
    <w:rsid w:val="008E75A5"/>
    <w:rsid w:val="008F07F7"/>
    <w:rsid w:val="008F21FC"/>
    <w:rsid w:val="008F2B02"/>
    <w:rsid w:val="008F2D46"/>
    <w:rsid w:val="008F313B"/>
    <w:rsid w:val="008F4AD7"/>
    <w:rsid w:val="008F4D95"/>
    <w:rsid w:val="008F5295"/>
    <w:rsid w:val="008F5D14"/>
    <w:rsid w:val="008F620B"/>
    <w:rsid w:val="008F65CD"/>
    <w:rsid w:val="008F68A2"/>
    <w:rsid w:val="008F69F6"/>
    <w:rsid w:val="008FF209"/>
    <w:rsid w:val="00901625"/>
    <w:rsid w:val="009018AC"/>
    <w:rsid w:val="00901C91"/>
    <w:rsid w:val="00901F51"/>
    <w:rsid w:val="009021FC"/>
    <w:rsid w:val="009024C9"/>
    <w:rsid w:val="00903252"/>
    <w:rsid w:val="00903CD5"/>
    <w:rsid w:val="009040BF"/>
    <w:rsid w:val="00904A7D"/>
    <w:rsid w:val="00904AAA"/>
    <w:rsid w:val="00905E7B"/>
    <w:rsid w:val="00906310"/>
    <w:rsid w:val="009065D3"/>
    <w:rsid w:val="00906819"/>
    <w:rsid w:val="00910394"/>
    <w:rsid w:val="00910CF6"/>
    <w:rsid w:val="009116ED"/>
    <w:rsid w:val="0091341E"/>
    <w:rsid w:val="00913A92"/>
    <w:rsid w:val="00913A94"/>
    <w:rsid w:val="00913D3E"/>
    <w:rsid w:val="00913EB1"/>
    <w:rsid w:val="00915340"/>
    <w:rsid w:val="00916F92"/>
    <w:rsid w:val="00917AD0"/>
    <w:rsid w:val="00917ED5"/>
    <w:rsid w:val="0092122B"/>
    <w:rsid w:val="009214CE"/>
    <w:rsid w:val="00921B74"/>
    <w:rsid w:val="009221E4"/>
    <w:rsid w:val="00922CF5"/>
    <w:rsid w:val="0092300A"/>
    <w:rsid w:val="00923140"/>
    <w:rsid w:val="00924D42"/>
    <w:rsid w:val="00925AC8"/>
    <w:rsid w:val="00925D16"/>
    <w:rsid w:val="00926073"/>
    <w:rsid w:val="009263C9"/>
    <w:rsid w:val="009266CF"/>
    <w:rsid w:val="00930E59"/>
    <w:rsid w:val="0093205C"/>
    <w:rsid w:val="00932C33"/>
    <w:rsid w:val="00934E91"/>
    <w:rsid w:val="009365D0"/>
    <w:rsid w:val="00941C37"/>
    <w:rsid w:val="00941CBE"/>
    <w:rsid w:val="009423CF"/>
    <w:rsid w:val="00942D59"/>
    <w:rsid w:val="009441C1"/>
    <w:rsid w:val="009445FE"/>
    <w:rsid w:val="00944775"/>
    <w:rsid w:val="0094484F"/>
    <w:rsid w:val="00944F13"/>
    <w:rsid w:val="009458F7"/>
    <w:rsid w:val="00946B8A"/>
    <w:rsid w:val="009473A7"/>
    <w:rsid w:val="00950CD3"/>
    <w:rsid w:val="0095108F"/>
    <w:rsid w:val="00951F87"/>
    <w:rsid w:val="00952180"/>
    <w:rsid w:val="009522F9"/>
    <w:rsid w:val="00952483"/>
    <w:rsid w:val="0095332A"/>
    <w:rsid w:val="009560DF"/>
    <w:rsid w:val="00956B57"/>
    <w:rsid w:val="00957610"/>
    <w:rsid w:val="00960CB1"/>
    <w:rsid w:val="00962398"/>
    <w:rsid w:val="009639A7"/>
    <w:rsid w:val="0096450C"/>
    <w:rsid w:val="0096466C"/>
    <w:rsid w:val="00965819"/>
    <w:rsid w:val="0096607C"/>
    <w:rsid w:val="00966500"/>
    <w:rsid w:val="00967F96"/>
    <w:rsid w:val="009702DB"/>
    <w:rsid w:val="009716D9"/>
    <w:rsid w:val="0097181F"/>
    <w:rsid w:val="00972DD8"/>
    <w:rsid w:val="009733C1"/>
    <w:rsid w:val="0097471D"/>
    <w:rsid w:val="009757CA"/>
    <w:rsid w:val="00975FC3"/>
    <w:rsid w:val="009762C5"/>
    <w:rsid w:val="0097782B"/>
    <w:rsid w:val="0097786C"/>
    <w:rsid w:val="00981C32"/>
    <w:rsid w:val="00981D65"/>
    <w:rsid w:val="00982BE2"/>
    <w:rsid w:val="00983979"/>
    <w:rsid w:val="0098397D"/>
    <w:rsid w:val="00984F23"/>
    <w:rsid w:val="00985433"/>
    <w:rsid w:val="00985706"/>
    <w:rsid w:val="00987029"/>
    <w:rsid w:val="009870CA"/>
    <w:rsid w:val="0099008A"/>
    <w:rsid w:val="00990474"/>
    <w:rsid w:val="009915AB"/>
    <w:rsid w:val="009915AC"/>
    <w:rsid w:val="009915B7"/>
    <w:rsid w:val="009917BC"/>
    <w:rsid w:val="00991C9F"/>
    <w:rsid w:val="00992295"/>
    <w:rsid w:val="00992FB8"/>
    <w:rsid w:val="0099303B"/>
    <w:rsid w:val="0099317B"/>
    <w:rsid w:val="0099399B"/>
    <w:rsid w:val="00993A6A"/>
    <w:rsid w:val="00994FAA"/>
    <w:rsid w:val="009950E0"/>
    <w:rsid w:val="009955F3"/>
    <w:rsid w:val="009958AF"/>
    <w:rsid w:val="00995DD1"/>
    <w:rsid w:val="00996B2B"/>
    <w:rsid w:val="0099736E"/>
    <w:rsid w:val="009977EC"/>
    <w:rsid w:val="009A0359"/>
    <w:rsid w:val="009A13AA"/>
    <w:rsid w:val="009A1ED5"/>
    <w:rsid w:val="009A26D9"/>
    <w:rsid w:val="009A27DC"/>
    <w:rsid w:val="009A2F82"/>
    <w:rsid w:val="009A3864"/>
    <w:rsid w:val="009A4231"/>
    <w:rsid w:val="009A4DEA"/>
    <w:rsid w:val="009A5240"/>
    <w:rsid w:val="009A52E3"/>
    <w:rsid w:val="009A5B4B"/>
    <w:rsid w:val="009A5FD9"/>
    <w:rsid w:val="009A79A0"/>
    <w:rsid w:val="009B008D"/>
    <w:rsid w:val="009B046A"/>
    <w:rsid w:val="009B09DB"/>
    <w:rsid w:val="009B17B5"/>
    <w:rsid w:val="009B1A6A"/>
    <w:rsid w:val="009B214E"/>
    <w:rsid w:val="009B23F4"/>
    <w:rsid w:val="009B2A13"/>
    <w:rsid w:val="009B30D0"/>
    <w:rsid w:val="009B34D7"/>
    <w:rsid w:val="009B3795"/>
    <w:rsid w:val="009B3BCE"/>
    <w:rsid w:val="009B3C51"/>
    <w:rsid w:val="009B3E35"/>
    <w:rsid w:val="009B5BC3"/>
    <w:rsid w:val="009B5C92"/>
    <w:rsid w:val="009B5F4E"/>
    <w:rsid w:val="009B620E"/>
    <w:rsid w:val="009B6E39"/>
    <w:rsid w:val="009B70BA"/>
    <w:rsid w:val="009B7769"/>
    <w:rsid w:val="009C0214"/>
    <w:rsid w:val="009C08FA"/>
    <w:rsid w:val="009C0D82"/>
    <w:rsid w:val="009C0E7E"/>
    <w:rsid w:val="009C0EBA"/>
    <w:rsid w:val="009C1031"/>
    <w:rsid w:val="009C26CE"/>
    <w:rsid w:val="009C272A"/>
    <w:rsid w:val="009C2FE1"/>
    <w:rsid w:val="009C36F4"/>
    <w:rsid w:val="009C535F"/>
    <w:rsid w:val="009C5922"/>
    <w:rsid w:val="009C6485"/>
    <w:rsid w:val="009C6A36"/>
    <w:rsid w:val="009C6B56"/>
    <w:rsid w:val="009C7057"/>
    <w:rsid w:val="009C71F1"/>
    <w:rsid w:val="009C7D5D"/>
    <w:rsid w:val="009D080A"/>
    <w:rsid w:val="009D0E79"/>
    <w:rsid w:val="009D2044"/>
    <w:rsid w:val="009D29A8"/>
    <w:rsid w:val="009D2D89"/>
    <w:rsid w:val="009D3CCB"/>
    <w:rsid w:val="009D488A"/>
    <w:rsid w:val="009D4B47"/>
    <w:rsid w:val="009D5079"/>
    <w:rsid w:val="009D5DBD"/>
    <w:rsid w:val="009D5EFB"/>
    <w:rsid w:val="009D715E"/>
    <w:rsid w:val="009E0CD7"/>
    <w:rsid w:val="009E1666"/>
    <w:rsid w:val="009E1AA5"/>
    <w:rsid w:val="009E25FE"/>
    <w:rsid w:val="009E2A43"/>
    <w:rsid w:val="009E2D55"/>
    <w:rsid w:val="009E307F"/>
    <w:rsid w:val="009E3249"/>
    <w:rsid w:val="009E3618"/>
    <w:rsid w:val="009E3A6F"/>
    <w:rsid w:val="009E3F75"/>
    <w:rsid w:val="009E3FF5"/>
    <w:rsid w:val="009E4229"/>
    <w:rsid w:val="009E43F6"/>
    <w:rsid w:val="009E4524"/>
    <w:rsid w:val="009E4F7D"/>
    <w:rsid w:val="009E54BE"/>
    <w:rsid w:val="009E5758"/>
    <w:rsid w:val="009E59F4"/>
    <w:rsid w:val="009E61D3"/>
    <w:rsid w:val="009E6ADC"/>
    <w:rsid w:val="009E7439"/>
    <w:rsid w:val="009E74BF"/>
    <w:rsid w:val="009E75E2"/>
    <w:rsid w:val="009F02DD"/>
    <w:rsid w:val="009F045E"/>
    <w:rsid w:val="009F084D"/>
    <w:rsid w:val="009F1143"/>
    <w:rsid w:val="009F11A9"/>
    <w:rsid w:val="009F170E"/>
    <w:rsid w:val="009F17A6"/>
    <w:rsid w:val="009F1E7B"/>
    <w:rsid w:val="009F2952"/>
    <w:rsid w:val="009F31E3"/>
    <w:rsid w:val="009F3E8D"/>
    <w:rsid w:val="009F408A"/>
    <w:rsid w:val="009F5131"/>
    <w:rsid w:val="009F598A"/>
    <w:rsid w:val="009F5F16"/>
    <w:rsid w:val="009F7381"/>
    <w:rsid w:val="009FB907"/>
    <w:rsid w:val="00A005EA"/>
    <w:rsid w:val="00A01BC6"/>
    <w:rsid w:val="00A01C41"/>
    <w:rsid w:val="00A01EE5"/>
    <w:rsid w:val="00A0205F"/>
    <w:rsid w:val="00A02B73"/>
    <w:rsid w:val="00A02DA3"/>
    <w:rsid w:val="00A035C9"/>
    <w:rsid w:val="00A03C9E"/>
    <w:rsid w:val="00A04062"/>
    <w:rsid w:val="00A047E5"/>
    <w:rsid w:val="00A05187"/>
    <w:rsid w:val="00A05252"/>
    <w:rsid w:val="00A054B9"/>
    <w:rsid w:val="00A05A72"/>
    <w:rsid w:val="00A05D6C"/>
    <w:rsid w:val="00A06A4B"/>
    <w:rsid w:val="00A06AEB"/>
    <w:rsid w:val="00A06C3C"/>
    <w:rsid w:val="00A06D28"/>
    <w:rsid w:val="00A07234"/>
    <w:rsid w:val="00A07898"/>
    <w:rsid w:val="00A07921"/>
    <w:rsid w:val="00A10435"/>
    <w:rsid w:val="00A10EE0"/>
    <w:rsid w:val="00A11177"/>
    <w:rsid w:val="00A11D10"/>
    <w:rsid w:val="00A11FED"/>
    <w:rsid w:val="00A1231C"/>
    <w:rsid w:val="00A123FB"/>
    <w:rsid w:val="00A12599"/>
    <w:rsid w:val="00A12A3A"/>
    <w:rsid w:val="00A12A87"/>
    <w:rsid w:val="00A12B33"/>
    <w:rsid w:val="00A133D4"/>
    <w:rsid w:val="00A1343B"/>
    <w:rsid w:val="00A13670"/>
    <w:rsid w:val="00A14B87"/>
    <w:rsid w:val="00A172B5"/>
    <w:rsid w:val="00A21577"/>
    <w:rsid w:val="00A216C7"/>
    <w:rsid w:val="00A22064"/>
    <w:rsid w:val="00A22A8C"/>
    <w:rsid w:val="00A22FCC"/>
    <w:rsid w:val="00A2366E"/>
    <w:rsid w:val="00A23CDB"/>
    <w:rsid w:val="00A24FC1"/>
    <w:rsid w:val="00A300CF"/>
    <w:rsid w:val="00A3039B"/>
    <w:rsid w:val="00A30D1D"/>
    <w:rsid w:val="00A30D90"/>
    <w:rsid w:val="00A3219F"/>
    <w:rsid w:val="00A33542"/>
    <w:rsid w:val="00A33975"/>
    <w:rsid w:val="00A34B40"/>
    <w:rsid w:val="00A3524C"/>
    <w:rsid w:val="00A3543F"/>
    <w:rsid w:val="00A356FA"/>
    <w:rsid w:val="00A37E8D"/>
    <w:rsid w:val="00A37EB5"/>
    <w:rsid w:val="00A4177B"/>
    <w:rsid w:val="00A42B71"/>
    <w:rsid w:val="00A440FD"/>
    <w:rsid w:val="00A45E3E"/>
    <w:rsid w:val="00A46710"/>
    <w:rsid w:val="00A46DAF"/>
    <w:rsid w:val="00A47BE0"/>
    <w:rsid w:val="00A4B56D"/>
    <w:rsid w:val="00A50844"/>
    <w:rsid w:val="00A50A83"/>
    <w:rsid w:val="00A50B63"/>
    <w:rsid w:val="00A5127A"/>
    <w:rsid w:val="00A519DB"/>
    <w:rsid w:val="00A51F16"/>
    <w:rsid w:val="00A5223F"/>
    <w:rsid w:val="00A52368"/>
    <w:rsid w:val="00A52EEF"/>
    <w:rsid w:val="00A54CE0"/>
    <w:rsid w:val="00A54D41"/>
    <w:rsid w:val="00A555A8"/>
    <w:rsid w:val="00A56532"/>
    <w:rsid w:val="00A56DE5"/>
    <w:rsid w:val="00A56EF7"/>
    <w:rsid w:val="00A575E5"/>
    <w:rsid w:val="00A6074B"/>
    <w:rsid w:val="00A60D3C"/>
    <w:rsid w:val="00A61B4F"/>
    <w:rsid w:val="00A61C3C"/>
    <w:rsid w:val="00A623EA"/>
    <w:rsid w:val="00A63335"/>
    <w:rsid w:val="00A63EA0"/>
    <w:rsid w:val="00A6416B"/>
    <w:rsid w:val="00A642A6"/>
    <w:rsid w:val="00A6447C"/>
    <w:rsid w:val="00A64C2C"/>
    <w:rsid w:val="00A64F6D"/>
    <w:rsid w:val="00A65509"/>
    <w:rsid w:val="00A657BF"/>
    <w:rsid w:val="00A65AFA"/>
    <w:rsid w:val="00A6620E"/>
    <w:rsid w:val="00A66856"/>
    <w:rsid w:val="00A66A20"/>
    <w:rsid w:val="00A66F23"/>
    <w:rsid w:val="00A67294"/>
    <w:rsid w:val="00A67C46"/>
    <w:rsid w:val="00A70987"/>
    <w:rsid w:val="00A70DE1"/>
    <w:rsid w:val="00A716AE"/>
    <w:rsid w:val="00A7339D"/>
    <w:rsid w:val="00A73623"/>
    <w:rsid w:val="00A73944"/>
    <w:rsid w:val="00A73C9F"/>
    <w:rsid w:val="00A75093"/>
    <w:rsid w:val="00A7539A"/>
    <w:rsid w:val="00A75EB9"/>
    <w:rsid w:val="00A77887"/>
    <w:rsid w:val="00A80477"/>
    <w:rsid w:val="00A80B96"/>
    <w:rsid w:val="00A81069"/>
    <w:rsid w:val="00A82369"/>
    <w:rsid w:val="00A8257D"/>
    <w:rsid w:val="00A82721"/>
    <w:rsid w:val="00A82D7C"/>
    <w:rsid w:val="00A83107"/>
    <w:rsid w:val="00A8332B"/>
    <w:rsid w:val="00A8382B"/>
    <w:rsid w:val="00A83B14"/>
    <w:rsid w:val="00A83B94"/>
    <w:rsid w:val="00A83DA7"/>
    <w:rsid w:val="00A841AB"/>
    <w:rsid w:val="00A84571"/>
    <w:rsid w:val="00A85D59"/>
    <w:rsid w:val="00A86BAE"/>
    <w:rsid w:val="00A878CA"/>
    <w:rsid w:val="00A87D85"/>
    <w:rsid w:val="00A912B7"/>
    <w:rsid w:val="00A91A94"/>
    <w:rsid w:val="00A9202A"/>
    <w:rsid w:val="00A9290B"/>
    <w:rsid w:val="00A92B68"/>
    <w:rsid w:val="00A9314F"/>
    <w:rsid w:val="00A9407A"/>
    <w:rsid w:val="00A9606E"/>
    <w:rsid w:val="00A9633A"/>
    <w:rsid w:val="00A968C4"/>
    <w:rsid w:val="00A97305"/>
    <w:rsid w:val="00A978CC"/>
    <w:rsid w:val="00AA010F"/>
    <w:rsid w:val="00AA0CE5"/>
    <w:rsid w:val="00AA0D42"/>
    <w:rsid w:val="00AA115B"/>
    <w:rsid w:val="00AA15D2"/>
    <w:rsid w:val="00AA359D"/>
    <w:rsid w:val="00AA3E83"/>
    <w:rsid w:val="00AA3EA2"/>
    <w:rsid w:val="00AA42FC"/>
    <w:rsid w:val="00AA4405"/>
    <w:rsid w:val="00AA4A2C"/>
    <w:rsid w:val="00AA4A7E"/>
    <w:rsid w:val="00AA5335"/>
    <w:rsid w:val="00AA53E6"/>
    <w:rsid w:val="00AA5AFF"/>
    <w:rsid w:val="00AA5E36"/>
    <w:rsid w:val="00AA640B"/>
    <w:rsid w:val="00AA6923"/>
    <w:rsid w:val="00AA756F"/>
    <w:rsid w:val="00AB04A6"/>
    <w:rsid w:val="00AB0631"/>
    <w:rsid w:val="00AB0BF7"/>
    <w:rsid w:val="00AB1632"/>
    <w:rsid w:val="00AB2416"/>
    <w:rsid w:val="00AB260F"/>
    <w:rsid w:val="00AB2B2F"/>
    <w:rsid w:val="00AB3393"/>
    <w:rsid w:val="00AB3681"/>
    <w:rsid w:val="00AB4288"/>
    <w:rsid w:val="00AB4DAF"/>
    <w:rsid w:val="00AB5A70"/>
    <w:rsid w:val="00AB5A92"/>
    <w:rsid w:val="00AB6DE9"/>
    <w:rsid w:val="00AB7357"/>
    <w:rsid w:val="00AB7959"/>
    <w:rsid w:val="00AC05DF"/>
    <w:rsid w:val="00AC1975"/>
    <w:rsid w:val="00AC1B35"/>
    <w:rsid w:val="00AC1C47"/>
    <w:rsid w:val="00AC1D94"/>
    <w:rsid w:val="00AC1FD6"/>
    <w:rsid w:val="00AC2703"/>
    <w:rsid w:val="00AC2B85"/>
    <w:rsid w:val="00AC34A0"/>
    <w:rsid w:val="00AC4030"/>
    <w:rsid w:val="00AC519F"/>
    <w:rsid w:val="00AC5AC5"/>
    <w:rsid w:val="00AC5C6D"/>
    <w:rsid w:val="00AC5CA0"/>
    <w:rsid w:val="00AC663B"/>
    <w:rsid w:val="00AC6B40"/>
    <w:rsid w:val="00AC6F3A"/>
    <w:rsid w:val="00AC7419"/>
    <w:rsid w:val="00AD03FA"/>
    <w:rsid w:val="00AD060E"/>
    <w:rsid w:val="00AD0929"/>
    <w:rsid w:val="00AD150B"/>
    <w:rsid w:val="00AD17AF"/>
    <w:rsid w:val="00AD1CE6"/>
    <w:rsid w:val="00AD1D8B"/>
    <w:rsid w:val="00AD2123"/>
    <w:rsid w:val="00AD21FD"/>
    <w:rsid w:val="00AD2AE4"/>
    <w:rsid w:val="00AD3B89"/>
    <w:rsid w:val="00AD40D3"/>
    <w:rsid w:val="00AD6A36"/>
    <w:rsid w:val="00AD6F13"/>
    <w:rsid w:val="00AD73D4"/>
    <w:rsid w:val="00AD77A5"/>
    <w:rsid w:val="00AE0537"/>
    <w:rsid w:val="00AE0B76"/>
    <w:rsid w:val="00AE1DE5"/>
    <w:rsid w:val="00AE2072"/>
    <w:rsid w:val="00AE21AD"/>
    <w:rsid w:val="00AE3251"/>
    <w:rsid w:val="00AE5DA2"/>
    <w:rsid w:val="00AE6518"/>
    <w:rsid w:val="00AE68D2"/>
    <w:rsid w:val="00AE6E5D"/>
    <w:rsid w:val="00AE750A"/>
    <w:rsid w:val="00AE7629"/>
    <w:rsid w:val="00AE76E2"/>
    <w:rsid w:val="00AF29A6"/>
    <w:rsid w:val="00AF30A6"/>
    <w:rsid w:val="00AF3321"/>
    <w:rsid w:val="00AF3F48"/>
    <w:rsid w:val="00AF4735"/>
    <w:rsid w:val="00AF4BC3"/>
    <w:rsid w:val="00AF54A2"/>
    <w:rsid w:val="00AF66F6"/>
    <w:rsid w:val="00AF69F5"/>
    <w:rsid w:val="00AF6C16"/>
    <w:rsid w:val="00AF7A11"/>
    <w:rsid w:val="00AF7D58"/>
    <w:rsid w:val="00B00B6F"/>
    <w:rsid w:val="00B00DBF"/>
    <w:rsid w:val="00B01898"/>
    <w:rsid w:val="00B01B87"/>
    <w:rsid w:val="00B02D2F"/>
    <w:rsid w:val="00B031EA"/>
    <w:rsid w:val="00B05327"/>
    <w:rsid w:val="00B056FB"/>
    <w:rsid w:val="00B05787"/>
    <w:rsid w:val="00B05A5E"/>
    <w:rsid w:val="00B06360"/>
    <w:rsid w:val="00B07031"/>
    <w:rsid w:val="00B071C3"/>
    <w:rsid w:val="00B074DD"/>
    <w:rsid w:val="00B076C8"/>
    <w:rsid w:val="00B07D52"/>
    <w:rsid w:val="00B07DB8"/>
    <w:rsid w:val="00B1022A"/>
    <w:rsid w:val="00B104C7"/>
    <w:rsid w:val="00B10A0E"/>
    <w:rsid w:val="00B10B93"/>
    <w:rsid w:val="00B1137C"/>
    <w:rsid w:val="00B1182A"/>
    <w:rsid w:val="00B12346"/>
    <w:rsid w:val="00B124DD"/>
    <w:rsid w:val="00B12F68"/>
    <w:rsid w:val="00B14E02"/>
    <w:rsid w:val="00B154FF"/>
    <w:rsid w:val="00B156F3"/>
    <w:rsid w:val="00B15A9D"/>
    <w:rsid w:val="00B15B41"/>
    <w:rsid w:val="00B1631C"/>
    <w:rsid w:val="00B206AC"/>
    <w:rsid w:val="00B20B2F"/>
    <w:rsid w:val="00B2167C"/>
    <w:rsid w:val="00B218B0"/>
    <w:rsid w:val="00B226A8"/>
    <w:rsid w:val="00B22D07"/>
    <w:rsid w:val="00B23050"/>
    <w:rsid w:val="00B23583"/>
    <w:rsid w:val="00B24CF9"/>
    <w:rsid w:val="00B25618"/>
    <w:rsid w:val="00B25876"/>
    <w:rsid w:val="00B27380"/>
    <w:rsid w:val="00B301DD"/>
    <w:rsid w:val="00B301FC"/>
    <w:rsid w:val="00B31300"/>
    <w:rsid w:val="00B31333"/>
    <w:rsid w:val="00B3181E"/>
    <w:rsid w:val="00B32DEF"/>
    <w:rsid w:val="00B33B01"/>
    <w:rsid w:val="00B3560E"/>
    <w:rsid w:val="00B375AC"/>
    <w:rsid w:val="00B37A96"/>
    <w:rsid w:val="00B404E6"/>
    <w:rsid w:val="00B414EF"/>
    <w:rsid w:val="00B41F84"/>
    <w:rsid w:val="00B42856"/>
    <w:rsid w:val="00B428AB"/>
    <w:rsid w:val="00B4348A"/>
    <w:rsid w:val="00B43891"/>
    <w:rsid w:val="00B43D59"/>
    <w:rsid w:val="00B4406E"/>
    <w:rsid w:val="00B447B1"/>
    <w:rsid w:val="00B44EB4"/>
    <w:rsid w:val="00B45A6D"/>
    <w:rsid w:val="00B45BDE"/>
    <w:rsid w:val="00B467DF"/>
    <w:rsid w:val="00B46D19"/>
    <w:rsid w:val="00B500FD"/>
    <w:rsid w:val="00B50122"/>
    <w:rsid w:val="00B5064B"/>
    <w:rsid w:val="00B507D8"/>
    <w:rsid w:val="00B50E11"/>
    <w:rsid w:val="00B511C8"/>
    <w:rsid w:val="00B52580"/>
    <w:rsid w:val="00B52BF6"/>
    <w:rsid w:val="00B52D88"/>
    <w:rsid w:val="00B53BC3"/>
    <w:rsid w:val="00B543D8"/>
    <w:rsid w:val="00B5472C"/>
    <w:rsid w:val="00B54C81"/>
    <w:rsid w:val="00B551E3"/>
    <w:rsid w:val="00B557A0"/>
    <w:rsid w:val="00B55BCB"/>
    <w:rsid w:val="00B55DE0"/>
    <w:rsid w:val="00B566FB"/>
    <w:rsid w:val="00B57291"/>
    <w:rsid w:val="00B57D3F"/>
    <w:rsid w:val="00B60894"/>
    <w:rsid w:val="00B60C35"/>
    <w:rsid w:val="00B6166D"/>
    <w:rsid w:val="00B6193C"/>
    <w:rsid w:val="00B61F41"/>
    <w:rsid w:val="00B6283D"/>
    <w:rsid w:val="00B63A0B"/>
    <w:rsid w:val="00B645AA"/>
    <w:rsid w:val="00B6475A"/>
    <w:rsid w:val="00B6530E"/>
    <w:rsid w:val="00B65BFD"/>
    <w:rsid w:val="00B664E0"/>
    <w:rsid w:val="00B666F7"/>
    <w:rsid w:val="00B66B64"/>
    <w:rsid w:val="00B701CA"/>
    <w:rsid w:val="00B71771"/>
    <w:rsid w:val="00B7281E"/>
    <w:rsid w:val="00B72E4C"/>
    <w:rsid w:val="00B72E9B"/>
    <w:rsid w:val="00B7396E"/>
    <w:rsid w:val="00B73EB2"/>
    <w:rsid w:val="00B7569A"/>
    <w:rsid w:val="00B76410"/>
    <w:rsid w:val="00B768C1"/>
    <w:rsid w:val="00B776EC"/>
    <w:rsid w:val="00B77C93"/>
    <w:rsid w:val="00B77D88"/>
    <w:rsid w:val="00B80401"/>
    <w:rsid w:val="00B8089C"/>
    <w:rsid w:val="00B81F07"/>
    <w:rsid w:val="00B82CA7"/>
    <w:rsid w:val="00B839AF"/>
    <w:rsid w:val="00B845AA"/>
    <w:rsid w:val="00B861BF"/>
    <w:rsid w:val="00B86939"/>
    <w:rsid w:val="00B86AB6"/>
    <w:rsid w:val="00B90EAE"/>
    <w:rsid w:val="00B91746"/>
    <w:rsid w:val="00B91FBE"/>
    <w:rsid w:val="00B925E2"/>
    <w:rsid w:val="00B929A9"/>
    <w:rsid w:val="00B929DA"/>
    <w:rsid w:val="00B92BBA"/>
    <w:rsid w:val="00B93384"/>
    <w:rsid w:val="00B95B4D"/>
    <w:rsid w:val="00B95E23"/>
    <w:rsid w:val="00B95FE9"/>
    <w:rsid w:val="00B962EE"/>
    <w:rsid w:val="00B97F9B"/>
    <w:rsid w:val="00BA0E3F"/>
    <w:rsid w:val="00BA264F"/>
    <w:rsid w:val="00BA3708"/>
    <w:rsid w:val="00BA377B"/>
    <w:rsid w:val="00BA3CCF"/>
    <w:rsid w:val="00BA4FE9"/>
    <w:rsid w:val="00BA520C"/>
    <w:rsid w:val="00BA5443"/>
    <w:rsid w:val="00BA5482"/>
    <w:rsid w:val="00BA67BB"/>
    <w:rsid w:val="00BA69DF"/>
    <w:rsid w:val="00BA6DDE"/>
    <w:rsid w:val="00BA71F5"/>
    <w:rsid w:val="00BA7230"/>
    <w:rsid w:val="00BA72A4"/>
    <w:rsid w:val="00BA7ACB"/>
    <w:rsid w:val="00BA7EFE"/>
    <w:rsid w:val="00BB05DA"/>
    <w:rsid w:val="00BB0E4E"/>
    <w:rsid w:val="00BB1305"/>
    <w:rsid w:val="00BB1579"/>
    <w:rsid w:val="00BB15B5"/>
    <w:rsid w:val="00BB1C96"/>
    <w:rsid w:val="00BB1E57"/>
    <w:rsid w:val="00BB23AE"/>
    <w:rsid w:val="00BB2E48"/>
    <w:rsid w:val="00BB30C8"/>
    <w:rsid w:val="00BB3A57"/>
    <w:rsid w:val="00BB44ED"/>
    <w:rsid w:val="00BB4DE4"/>
    <w:rsid w:val="00BB5D74"/>
    <w:rsid w:val="00BB60AD"/>
    <w:rsid w:val="00BB6B70"/>
    <w:rsid w:val="00BB77ED"/>
    <w:rsid w:val="00BC0CF7"/>
    <w:rsid w:val="00BC2651"/>
    <w:rsid w:val="00BC270C"/>
    <w:rsid w:val="00BC28CA"/>
    <w:rsid w:val="00BC2F94"/>
    <w:rsid w:val="00BC35DA"/>
    <w:rsid w:val="00BC4490"/>
    <w:rsid w:val="00BC4A63"/>
    <w:rsid w:val="00BC4D9B"/>
    <w:rsid w:val="00BC4F21"/>
    <w:rsid w:val="00BC5003"/>
    <w:rsid w:val="00BC5840"/>
    <w:rsid w:val="00BC6170"/>
    <w:rsid w:val="00BC624C"/>
    <w:rsid w:val="00BC6839"/>
    <w:rsid w:val="00BC764B"/>
    <w:rsid w:val="00BC771C"/>
    <w:rsid w:val="00BC7C73"/>
    <w:rsid w:val="00BD06E4"/>
    <w:rsid w:val="00BD2305"/>
    <w:rsid w:val="00BD2583"/>
    <w:rsid w:val="00BD25AF"/>
    <w:rsid w:val="00BD2B07"/>
    <w:rsid w:val="00BD2FED"/>
    <w:rsid w:val="00BD3BB4"/>
    <w:rsid w:val="00BD41C7"/>
    <w:rsid w:val="00BD4267"/>
    <w:rsid w:val="00BD4D55"/>
    <w:rsid w:val="00BD4E9C"/>
    <w:rsid w:val="00BD59D5"/>
    <w:rsid w:val="00BD5AEE"/>
    <w:rsid w:val="00BD5EFD"/>
    <w:rsid w:val="00BD65CF"/>
    <w:rsid w:val="00BD6C21"/>
    <w:rsid w:val="00BD6CA8"/>
    <w:rsid w:val="00BD6F9C"/>
    <w:rsid w:val="00BD7FAA"/>
    <w:rsid w:val="00BE06F4"/>
    <w:rsid w:val="00BE0B90"/>
    <w:rsid w:val="00BE144A"/>
    <w:rsid w:val="00BE2358"/>
    <w:rsid w:val="00BE25BA"/>
    <w:rsid w:val="00BE29EC"/>
    <w:rsid w:val="00BE3481"/>
    <w:rsid w:val="00BE430C"/>
    <w:rsid w:val="00BE44D9"/>
    <w:rsid w:val="00BE4B84"/>
    <w:rsid w:val="00BE4CB3"/>
    <w:rsid w:val="00BE55CD"/>
    <w:rsid w:val="00BE576D"/>
    <w:rsid w:val="00BE70A5"/>
    <w:rsid w:val="00BE77E3"/>
    <w:rsid w:val="00BE794E"/>
    <w:rsid w:val="00BE79BB"/>
    <w:rsid w:val="00BE7DFC"/>
    <w:rsid w:val="00BE7FF5"/>
    <w:rsid w:val="00BF0247"/>
    <w:rsid w:val="00BF0D54"/>
    <w:rsid w:val="00BF1323"/>
    <w:rsid w:val="00BF1523"/>
    <w:rsid w:val="00BF174D"/>
    <w:rsid w:val="00BF1FCF"/>
    <w:rsid w:val="00BF2428"/>
    <w:rsid w:val="00BF28E7"/>
    <w:rsid w:val="00BF3897"/>
    <w:rsid w:val="00BF3F4B"/>
    <w:rsid w:val="00BF544A"/>
    <w:rsid w:val="00BF6273"/>
    <w:rsid w:val="00BF71A3"/>
    <w:rsid w:val="00BF71AF"/>
    <w:rsid w:val="00BF7922"/>
    <w:rsid w:val="00C00DB9"/>
    <w:rsid w:val="00C01566"/>
    <w:rsid w:val="00C01D54"/>
    <w:rsid w:val="00C022B6"/>
    <w:rsid w:val="00C0245E"/>
    <w:rsid w:val="00C02D6A"/>
    <w:rsid w:val="00C02FC1"/>
    <w:rsid w:val="00C03985"/>
    <w:rsid w:val="00C03EAD"/>
    <w:rsid w:val="00C055A4"/>
    <w:rsid w:val="00C055B3"/>
    <w:rsid w:val="00C064DA"/>
    <w:rsid w:val="00C06572"/>
    <w:rsid w:val="00C06E35"/>
    <w:rsid w:val="00C06E73"/>
    <w:rsid w:val="00C0750E"/>
    <w:rsid w:val="00C076E8"/>
    <w:rsid w:val="00C07EC4"/>
    <w:rsid w:val="00C100D4"/>
    <w:rsid w:val="00C104D5"/>
    <w:rsid w:val="00C10BD0"/>
    <w:rsid w:val="00C11259"/>
    <w:rsid w:val="00C11DB7"/>
    <w:rsid w:val="00C13A53"/>
    <w:rsid w:val="00C13B35"/>
    <w:rsid w:val="00C13EC6"/>
    <w:rsid w:val="00C143C2"/>
    <w:rsid w:val="00C1460C"/>
    <w:rsid w:val="00C1530E"/>
    <w:rsid w:val="00C15818"/>
    <w:rsid w:val="00C15AD2"/>
    <w:rsid w:val="00C15B7F"/>
    <w:rsid w:val="00C15C4F"/>
    <w:rsid w:val="00C15FB8"/>
    <w:rsid w:val="00C160A3"/>
    <w:rsid w:val="00C17A70"/>
    <w:rsid w:val="00C2093C"/>
    <w:rsid w:val="00C21DC4"/>
    <w:rsid w:val="00C21FB4"/>
    <w:rsid w:val="00C2206C"/>
    <w:rsid w:val="00C2271A"/>
    <w:rsid w:val="00C24619"/>
    <w:rsid w:val="00C249ED"/>
    <w:rsid w:val="00C24C82"/>
    <w:rsid w:val="00C24FBC"/>
    <w:rsid w:val="00C253D7"/>
    <w:rsid w:val="00C27CFA"/>
    <w:rsid w:val="00C30788"/>
    <w:rsid w:val="00C31F60"/>
    <w:rsid w:val="00C32224"/>
    <w:rsid w:val="00C33BF0"/>
    <w:rsid w:val="00C3469A"/>
    <w:rsid w:val="00C34E2B"/>
    <w:rsid w:val="00C35B71"/>
    <w:rsid w:val="00C361DC"/>
    <w:rsid w:val="00C36CA8"/>
    <w:rsid w:val="00C370D7"/>
    <w:rsid w:val="00C40654"/>
    <w:rsid w:val="00C40B81"/>
    <w:rsid w:val="00C40E0F"/>
    <w:rsid w:val="00C41369"/>
    <w:rsid w:val="00C42102"/>
    <w:rsid w:val="00C42192"/>
    <w:rsid w:val="00C42A33"/>
    <w:rsid w:val="00C433B6"/>
    <w:rsid w:val="00C43C27"/>
    <w:rsid w:val="00C44016"/>
    <w:rsid w:val="00C44569"/>
    <w:rsid w:val="00C445B5"/>
    <w:rsid w:val="00C44771"/>
    <w:rsid w:val="00C44856"/>
    <w:rsid w:val="00C44981"/>
    <w:rsid w:val="00C44B73"/>
    <w:rsid w:val="00C45C72"/>
    <w:rsid w:val="00C45E10"/>
    <w:rsid w:val="00C45FD4"/>
    <w:rsid w:val="00C4657B"/>
    <w:rsid w:val="00C467EE"/>
    <w:rsid w:val="00C508F6"/>
    <w:rsid w:val="00C51C2F"/>
    <w:rsid w:val="00C51D6F"/>
    <w:rsid w:val="00C52B8C"/>
    <w:rsid w:val="00C52BD2"/>
    <w:rsid w:val="00C53D39"/>
    <w:rsid w:val="00C53FBF"/>
    <w:rsid w:val="00C55BE2"/>
    <w:rsid w:val="00C5610A"/>
    <w:rsid w:val="00C5710C"/>
    <w:rsid w:val="00C57234"/>
    <w:rsid w:val="00C57262"/>
    <w:rsid w:val="00C60B0E"/>
    <w:rsid w:val="00C62101"/>
    <w:rsid w:val="00C623C3"/>
    <w:rsid w:val="00C6260A"/>
    <w:rsid w:val="00C62673"/>
    <w:rsid w:val="00C636DF"/>
    <w:rsid w:val="00C63CD5"/>
    <w:rsid w:val="00C642C0"/>
    <w:rsid w:val="00C6473D"/>
    <w:rsid w:val="00C64D50"/>
    <w:rsid w:val="00C66062"/>
    <w:rsid w:val="00C66114"/>
    <w:rsid w:val="00C6647E"/>
    <w:rsid w:val="00C66739"/>
    <w:rsid w:val="00C67662"/>
    <w:rsid w:val="00C67B67"/>
    <w:rsid w:val="00C70E89"/>
    <w:rsid w:val="00C71D64"/>
    <w:rsid w:val="00C746E6"/>
    <w:rsid w:val="00C7517E"/>
    <w:rsid w:val="00C76933"/>
    <w:rsid w:val="00C7746D"/>
    <w:rsid w:val="00C77824"/>
    <w:rsid w:val="00C805E3"/>
    <w:rsid w:val="00C811E7"/>
    <w:rsid w:val="00C82ED4"/>
    <w:rsid w:val="00C83983"/>
    <w:rsid w:val="00C852C0"/>
    <w:rsid w:val="00C85D0C"/>
    <w:rsid w:val="00C85D86"/>
    <w:rsid w:val="00C8684E"/>
    <w:rsid w:val="00C875AF"/>
    <w:rsid w:val="00C8799B"/>
    <w:rsid w:val="00C87F4A"/>
    <w:rsid w:val="00C901E1"/>
    <w:rsid w:val="00C910AB"/>
    <w:rsid w:val="00C91BDC"/>
    <w:rsid w:val="00C91D96"/>
    <w:rsid w:val="00C91F0C"/>
    <w:rsid w:val="00C927CF"/>
    <w:rsid w:val="00C930E7"/>
    <w:rsid w:val="00C9324D"/>
    <w:rsid w:val="00C938CD"/>
    <w:rsid w:val="00C94C51"/>
    <w:rsid w:val="00C94DF2"/>
    <w:rsid w:val="00C9509D"/>
    <w:rsid w:val="00C958EE"/>
    <w:rsid w:val="00CA01FD"/>
    <w:rsid w:val="00CA0278"/>
    <w:rsid w:val="00CA1515"/>
    <w:rsid w:val="00CA163F"/>
    <w:rsid w:val="00CA1C66"/>
    <w:rsid w:val="00CA1D9E"/>
    <w:rsid w:val="00CA2018"/>
    <w:rsid w:val="00CA2F10"/>
    <w:rsid w:val="00CA5672"/>
    <w:rsid w:val="00CA63F7"/>
    <w:rsid w:val="00CA6402"/>
    <w:rsid w:val="00CA6404"/>
    <w:rsid w:val="00CA66BA"/>
    <w:rsid w:val="00CA6FC1"/>
    <w:rsid w:val="00CA792C"/>
    <w:rsid w:val="00CA7AE8"/>
    <w:rsid w:val="00CA7C94"/>
    <w:rsid w:val="00CA7E6C"/>
    <w:rsid w:val="00CB002C"/>
    <w:rsid w:val="00CB00EC"/>
    <w:rsid w:val="00CB0988"/>
    <w:rsid w:val="00CB10FC"/>
    <w:rsid w:val="00CB133B"/>
    <w:rsid w:val="00CB1A98"/>
    <w:rsid w:val="00CB1D1E"/>
    <w:rsid w:val="00CB24C7"/>
    <w:rsid w:val="00CB269B"/>
    <w:rsid w:val="00CB393A"/>
    <w:rsid w:val="00CB457D"/>
    <w:rsid w:val="00CB5372"/>
    <w:rsid w:val="00CB6046"/>
    <w:rsid w:val="00CB69F8"/>
    <w:rsid w:val="00CB6F6C"/>
    <w:rsid w:val="00CB6FEA"/>
    <w:rsid w:val="00CB7135"/>
    <w:rsid w:val="00CC0AE0"/>
    <w:rsid w:val="00CC0B0A"/>
    <w:rsid w:val="00CC0BD1"/>
    <w:rsid w:val="00CC0EAF"/>
    <w:rsid w:val="00CC10AC"/>
    <w:rsid w:val="00CC1876"/>
    <w:rsid w:val="00CC33AD"/>
    <w:rsid w:val="00CC40B3"/>
    <w:rsid w:val="00CC43A5"/>
    <w:rsid w:val="00CC47A8"/>
    <w:rsid w:val="00CC4A0D"/>
    <w:rsid w:val="00CC4F26"/>
    <w:rsid w:val="00CC5976"/>
    <w:rsid w:val="00CC75C4"/>
    <w:rsid w:val="00CD0092"/>
    <w:rsid w:val="00CD0B7D"/>
    <w:rsid w:val="00CD117D"/>
    <w:rsid w:val="00CD268D"/>
    <w:rsid w:val="00CD2903"/>
    <w:rsid w:val="00CD3444"/>
    <w:rsid w:val="00CD37DA"/>
    <w:rsid w:val="00CD4084"/>
    <w:rsid w:val="00CD4428"/>
    <w:rsid w:val="00CD4589"/>
    <w:rsid w:val="00CD477C"/>
    <w:rsid w:val="00CD4C28"/>
    <w:rsid w:val="00CD50C6"/>
    <w:rsid w:val="00CD55CE"/>
    <w:rsid w:val="00CD569B"/>
    <w:rsid w:val="00CD5CA7"/>
    <w:rsid w:val="00CD695E"/>
    <w:rsid w:val="00CD6F96"/>
    <w:rsid w:val="00CD7EC6"/>
    <w:rsid w:val="00CE0157"/>
    <w:rsid w:val="00CE1058"/>
    <w:rsid w:val="00CE1561"/>
    <w:rsid w:val="00CE3BDA"/>
    <w:rsid w:val="00CE3F2E"/>
    <w:rsid w:val="00CE401E"/>
    <w:rsid w:val="00CE4BE6"/>
    <w:rsid w:val="00CE4CC4"/>
    <w:rsid w:val="00CE548E"/>
    <w:rsid w:val="00CE5E7D"/>
    <w:rsid w:val="00CE6B4C"/>
    <w:rsid w:val="00CE7E94"/>
    <w:rsid w:val="00CF0ACC"/>
    <w:rsid w:val="00CF0C11"/>
    <w:rsid w:val="00CF12CC"/>
    <w:rsid w:val="00CF17A7"/>
    <w:rsid w:val="00CF17EF"/>
    <w:rsid w:val="00CF181A"/>
    <w:rsid w:val="00CF31DA"/>
    <w:rsid w:val="00CF34EB"/>
    <w:rsid w:val="00CF386A"/>
    <w:rsid w:val="00CF5BD7"/>
    <w:rsid w:val="00CF600E"/>
    <w:rsid w:val="00CF6305"/>
    <w:rsid w:val="00CF69FC"/>
    <w:rsid w:val="00CF6BBD"/>
    <w:rsid w:val="00CF7790"/>
    <w:rsid w:val="00CF7F75"/>
    <w:rsid w:val="00D002D8"/>
    <w:rsid w:val="00D02FF9"/>
    <w:rsid w:val="00D034A8"/>
    <w:rsid w:val="00D05057"/>
    <w:rsid w:val="00D0592D"/>
    <w:rsid w:val="00D06DE2"/>
    <w:rsid w:val="00D074DC"/>
    <w:rsid w:val="00D07509"/>
    <w:rsid w:val="00D07CBB"/>
    <w:rsid w:val="00D07FF6"/>
    <w:rsid w:val="00D09E6B"/>
    <w:rsid w:val="00D12255"/>
    <w:rsid w:val="00D125CA"/>
    <w:rsid w:val="00D12ACE"/>
    <w:rsid w:val="00D13CF4"/>
    <w:rsid w:val="00D13EA2"/>
    <w:rsid w:val="00D14F07"/>
    <w:rsid w:val="00D15392"/>
    <w:rsid w:val="00D1549F"/>
    <w:rsid w:val="00D15623"/>
    <w:rsid w:val="00D1621C"/>
    <w:rsid w:val="00D16563"/>
    <w:rsid w:val="00D16E33"/>
    <w:rsid w:val="00D16EDB"/>
    <w:rsid w:val="00D16F87"/>
    <w:rsid w:val="00D173B3"/>
    <w:rsid w:val="00D175C4"/>
    <w:rsid w:val="00D179E1"/>
    <w:rsid w:val="00D179E4"/>
    <w:rsid w:val="00D17A76"/>
    <w:rsid w:val="00D17CE5"/>
    <w:rsid w:val="00D1DC74"/>
    <w:rsid w:val="00D20B9E"/>
    <w:rsid w:val="00D20F75"/>
    <w:rsid w:val="00D21157"/>
    <w:rsid w:val="00D22456"/>
    <w:rsid w:val="00D22AF1"/>
    <w:rsid w:val="00D237FD"/>
    <w:rsid w:val="00D23835"/>
    <w:rsid w:val="00D23DE1"/>
    <w:rsid w:val="00D23F67"/>
    <w:rsid w:val="00D2458E"/>
    <w:rsid w:val="00D2462B"/>
    <w:rsid w:val="00D25B18"/>
    <w:rsid w:val="00D25F17"/>
    <w:rsid w:val="00D26938"/>
    <w:rsid w:val="00D273B1"/>
    <w:rsid w:val="00D273B3"/>
    <w:rsid w:val="00D27660"/>
    <w:rsid w:val="00D27F37"/>
    <w:rsid w:val="00D30CB8"/>
    <w:rsid w:val="00D30E22"/>
    <w:rsid w:val="00D31AC2"/>
    <w:rsid w:val="00D324D9"/>
    <w:rsid w:val="00D326B1"/>
    <w:rsid w:val="00D347FA"/>
    <w:rsid w:val="00D34FE2"/>
    <w:rsid w:val="00D3504F"/>
    <w:rsid w:val="00D35ACD"/>
    <w:rsid w:val="00D35FCD"/>
    <w:rsid w:val="00D35FD9"/>
    <w:rsid w:val="00D36359"/>
    <w:rsid w:val="00D365AA"/>
    <w:rsid w:val="00D36F62"/>
    <w:rsid w:val="00D405BE"/>
    <w:rsid w:val="00D42379"/>
    <w:rsid w:val="00D428AD"/>
    <w:rsid w:val="00D4295C"/>
    <w:rsid w:val="00D4317B"/>
    <w:rsid w:val="00D43D17"/>
    <w:rsid w:val="00D44D61"/>
    <w:rsid w:val="00D457B1"/>
    <w:rsid w:val="00D4585C"/>
    <w:rsid w:val="00D476F3"/>
    <w:rsid w:val="00D47788"/>
    <w:rsid w:val="00D51A07"/>
    <w:rsid w:val="00D52C8C"/>
    <w:rsid w:val="00D52D77"/>
    <w:rsid w:val="00D52D99"/>
    <w:rsid w:val="00D53A07"/>
    <w:rsid w:val="00D54201"/>
    <w:rsid w:val="00D5500F"/>
    <w:rsid w:val="00D55112"/>
    <w:rsid w:val="00D55443"/>
    <w:rsid w:val="00D55822"/>
    <w:rsid w:val="00D57983"/>
    <w:rsid w:val="00D60151"/>
    <w:rsid w:val="00D6050B"/>
    <w:rsid w:val="00D6066F"/>
    <w:rsid w:val="00D60B52"/>
    <w:rsid w:val="00D61C27"/>
    <w:rsid w:val="00D62630"/>
    <w:rsid w:val="00D64EE2"/>
    <w:rsid w:val="00D66719"/>
    <w:rsid w:val="00D66A8F"/>
    <w:rsid w:val="00D66DAA"/>
    <w:rsid w:val="00D678DA"/>
    <w:rsid w:val="00D70045"/>
    <w:rsid w:val="00D7072B"/>
    <w:rsid w:val="00D70D36"/>
    <w:rsid w:val="00D726BB"/>
    <w:rsid w:val="00D726CE"/>
    <w:rsid w:val="00D72E6A"/>
    <w:rsid w:val="00D72FD8"/>
    <w:rsid w:val="00D73701"/>
    <w:rsid w:val="00D74362"/>
    <w:rsid w:val="00D7492A"/>
    <w:rsid w:val="00D74A7B"/>
    <w:rsid w:val="00D75DB9"/>
    <w:rsid w:val="00D761DF"/>
    <w:rsid w:val="00D77050"/>
    <w:rsid w:val="00D772B8"/>
    <w:rsid w:val="00D77A4D"/>
    <w:rsid w:val="00D77A54"/>
    <w:rsid w:val="00D8141F"/>
    <w:rsid w:val="00D81967"/>
    <w:rsid w:val="00D81CB9"/>
    <w:rsid w:val="00D81FEA"/>
    <w:rsid w:val="00D83001"/>
    <w:rsid w:val="00D830B1"/>
    <w:rsid w:val="00D83A3D"/>
    <w:rsid w:val="00D8493B"/>
    <w:rsid w:val="00D84EE7"/>
    <w:rsid w:val="00D84F01"/>
    <w:rsid w:val="00D85C7E"/>
    <w:rsid w:val="00D85EBC"/>
    <w:rsid w:val="00D862C7"/>
    <w:rsid w:val="00D906E8"/>
    <w:rsid w:val="00D912DB"/>
    <w:rsid w:val="00D9248F"/>
    <w:rsid w:val="00D9261A"/>
    <w:rsid w:val="00D92ED4"/>
    <w:rsid w:val="00D932E6"/>
    <w:rsid w:val="00D93C0A"/>
    <w:rsid w:val="00D94C0D"/>
    <w:rsid w:val="00D95045"/>
    <w:rsid w:val="00D9547F"/>
    <w:rsid w:val="00D956D8"/>
    <w:rsid w:val="00D966C1"/>
    <w:rsid w:val="00D979BC"/>
    <w:rsid w:val="00D97CF4"/>
    <w:rsid w:val="00DA00DB"/>
    <w:rsid w:val="00DA0361"/>
    <w:rsid w:val="00DA182A"/>
    <w:rsid w:val="00DA220C"/>
    <w:rsid w:val="00DA2647"/>
    <w:rsid w:val="00DA3262"/>
    <w:rsid w:val="00DA36FA"/>
    <w:rsid w:val="00DA3A5C"/>
    <w:rsid w:val="00DA3B00"/>
    <w:rsid w:val="00DA4281"/>
    <w:rsid w:val="00DA495E"/>
    <w:rsid w:val="00DA5471"/>
    <w:rsid w:val="00DB078E"/>
    <w:rsid w:val="00DB1AC4"/>
    <w:rsid w:val="00DB1E28"/>
    <w:rsid w:val="00DB1F06"/>
    <w:rsid w:val="00DB2221"/>
    <w:rsid w:val="00DB24E4"/>
    <w:rsid w:val="00DB4C9D"/>
    <w:rsid w:val="00DB52C1"/>
    <w:rsid w:val="00DB54D3"/>
    <w:rsid w:val="00DB6870"/>
    <w:rsid w:val="00DB7880"/>
    <w:rsid w:val="00DB7F0B"/>
    <w:rsid w:val="00DC0088"/>
    <w:rsid w:val="00DC07EC"/>
    <w:rsid w:val="00DC0A3B"/>
    <w:rsid w:val="00DC0B35"/>
    <w:rsid w:val="00DC2E28"/>
    <w:rsid w:val="00DC44DC"/>
    <w:rsid w:val="00DC4E2A"/>
    <w:rsid w:val="00DC54C3"/>
    <w:rsid w:val="00DC57EB"/>
    <w:rsid w:val="00DC5ED0"/>
    <w:rsid w:val="00DC6956"/>
    <w:rsid w:val="00DC6E5D"/>
    <w:rsid w:val="00DC7040"/>
    <w:rsid w:val="00DC7EBB"/>
    <w:rsid w:val="00DD02D5"/>
    <w:rsid w:val="00DD0815"/>
    <w:rsid w:val="00DD10A6"/>
    <w:rsid w:val="00DD19EE"/>
    <w:rsid w:val="00DD1A55"/>
    <w:rsid w:val="00DD1C5B"/>
    <w:rsid w:val="00DD29E2"/>
    <w:rsid w:val="00DD2DE7"/>
    <w:rsid w:val="00DD356D"/>
    <w:rsid w:val="00DD4216"/>
    <w:rsid w:val="00DD494C"/>
    <w:rsid w:val="00DD57B1"/>
    <w:rsid w:val="00DD5BFB"/>
    <w:rsid w:val="00DD5C62"/>
    <w:rsid w:val="00DD6A6C"/>
    <w:rsid w:val="00DD7010"/>
    <w:rsid w:val="00DD7EBB"/>
    <w:rsid w:val="00DE0085"/>
    <w:rsid w:val="00DE0333"/>
    <w:rsid w:val="00DE0799"/>
    <w:rsid w:val="00DE0989"/>
    <w:rsid w:val="00DE154F"/>
    <w:rsid w:val="00DE2435"/>
    <w:rsid w:val="00DE2669"/>
    <w:rsid w:val="00DE4CC6"/>
    <w:rsid w:val="00DE584A"/>
    <w:rsid w:val="00DE6147"/>
    <w:rsid w:val="00DE62AF"/>
    <w:rsid w:val="00DE6ABB"/>
    <w:rsid w:val="00DE6C6D"/>
    <w:rsid w:val="00DE70CC"/>
    <w:rsid w:val="00DE7375"/>
    <w:rsid w:val="00DE74EE"/>
    <w:rsid w:val="00DF07CD"/>
    <w:rsid w:val="00DF11DD"/>
    <w:rsid w:val="00DF1231"/>
    <w:rsid w:val="00DF1413"/>
    <w:rsid w:val="00DF22F1"/>
    <w:rsid w:val="00DF35EC"/>
    <w:rsid w:val="00DF44E9"/>
    <w:rsid w:val="00DF5ABC"/>
    <w:rsid w:val="00DF7563"/>
    <w:rsid w:val="00DF7B84"/>
    <w:rsid w:val="00E009C7"/>
    <w:rsid w:val="00E01336"/>
    <w:rsid w:val="00E01877"/>
    <w:rsid w:val="00E02266"/>
    <w:rsid w:val="00E024E7"/>
    <w:rsid w:val="00E02C93"/>
    <w:rsid w:val="00E03A9D"/>
    <w:rsid w:val="00E03E89"/>
    <w:rsid w:val="00E04197"/>
    <w:rsid w:val="00E0481F"/>
    <w:rsid w:val="00E053A6"/>
    <w:rsid w:val="00E05561"/>
    <w:rsid w:val="00E05B6D"/>
    <w:rsid w:val="00E06293"/>
    <w:rsid w:val="00E065A9"/>
    <w:rsid w:val="00E06678"/>
    <w:rsid w:val="00E0697B"/>
    <w:rsid w:val="00E06F67"/>
    <w:rsid w:val="00E0708F"/>
    <w:rsid w:val="00E073B3"/>
    <w:rsid w:val="00E07CAB"/>
    <w:rsid w:val="00E100CE"/>
    <w:rsid w:val="00E1016C"/>
    <w:rsid w:val="00E10403"/>
    <w:rsid w:val="00E10E85"/>
    <w:rsid w:val="00E1116A"/>
    <w:rsid w:val="00E113C0"/>
    <w:rsid w:val="00E1147A"/>
    <w:rsid w:val="00E11A73"/>
    <w:rsid w:val="00E12092"/>
    <w:rsid w:val="00E12409"/>
    <w:rsid w:val="00E12C50"/>
    <w:rsid w:val="00E12C89"/>
    <w:rsid w:val="00E132B5"/>
    <w:rsid w:val="00E13327"/>
    <w:rsid w:val="00E1349D"/>
    <w:rsid w:val="00E1384E"/>
    <w:rsid w:val="00E13D13"/>
    <w:rsid w:val="00E140B8"/>
    <w:rsid w:val="00E14BDB"/>
    <w:rsid w:val="00E152C7"/>
    <w:rsid w:val="00E166FB"/>
    <w:rsid w:val="00E16A06"/>
    <w:rsid w:val="00E21721"/>
    <w:rsid w:val="00E23B22"/>
    <w:rsid w:val="00E23F63"/>
    <w:rsid w:val="00E24225"/>
    <w:rsid w:val="00E247B7"/>
    <w:rsid w:val="00E24826"/>
    <w:rsid w:val="00E24EE8"/>
    <w:rsid w:val="00E24FFB"/>
    <w:rsid w:val="00E251EB"/>
    <w:rsid w:val="00E2544F"/>
    <w:rsid w:val="00E2581B"/>
    <w:rsid w:val="00E2624D"/>
    <w:rsid w:val="00E26E5B"/>
    <w:rsid w:val="00E27399"/>
    <w:rsid w:val="00E30AD9"/>
    <w:rsid w:val="00E31063"/>
    <w:rsid w:val="00E31BDB"/>
    <w:rsid w:val="00E320D0"/>
    <w:rsid w:val="00E334E7"/>
    <w:rsid w:val="00E336B1"/>
    <w:rsid w:val="00E33C62"/>
    <w:rsid w:val="00E33E1E"/>
    <w:rsid w:val="00E34178"/>
    <w:rsid w:val="00E346A2"/>
    <w:rsid w:val="00E359FA"/>
    <w:rsid w:val="00E362AA"/>
    <w:rsid w:val="00E369BE"/>
    <w:rsid w:val="00E37777"/>
    <w:rsid w:val="00E403BA"/>
    <w:rsid w:val="00E4068B"/>
    <w:rsid w:val="00E4124A"/>
    <w:rsid w:val="00E412A1"/>
    <w:rsid w:val="00E41497"/>
    <w:rsid w:val="00E4372B"/>
    <w:rsid w:val="00E44194"/>
    <w:rsid w:val="00E45117"/>
    <w:rsid w:val="00E46180"/>
    <w:rsid w:val="00E4640E"/>
    <w:rsid w:val="00E471C3"/>
    <w:rsid w:val="00E47ED7"/>
    <w:rsid w:val="00E506E6"/>
    <w:rsid w:val="00E509C1"/>
    <w:rsid w:val="00E50C5D"/>
    <w:rsid w:val="00E51097"/>
    <w:rsid w:val="00E5198D"/>
    <w:rsid w:val="00E52051"/>
    <w:rsid w:val="00E53BCF"/>
    <w:rsid w:val="00E54260"/>
    <w:rsid w:val="00E544FF"/>
    <w:rsid w:val="00E546B5"/>
    <w:rsid w:val="00E549DA"/>
    <w:rsid w:val="00E54F44"/>
    <w:rsid w:val="00E552CF"/>
    <w:rsid w:val="00E5583C"/>
    <w:rsid w:val="00E55DA4"/>
    <w:rsid w:val="00E563CC"/>
    <w:rsid w:val="00E56483"/>
    <w:rsid w:val="00E5685F"/>
    <w:rsid w:val="00E579EA"/>
    <w:rsid w:val="00E57B4C"/>
    <w:rsid w:val="00E600D2"/>
    <w:rsid w:val="00E6041E"/>
    <w:rsid w:val="00E6114F"/>
    <w:rsid w:val="00E628F1"/>
    <w:rsid w:val="00E62FF5"/>
    <w:rsid w:val="00E63F90"/>
    <w:rsid w:val="00E654F5"/>
    <w:rsid w:val="00E65AA4"/>
    <w:rsid w:val="00E661F0"/>
    <w:rsid w:val="00E6626C"/>
    <w:rsid w:val="00E673D1"/>
    <w:rsid w:val="00E674EB"/>
    <w:rsid w:val="00E709C6"/>
    <w:rsid w:val="00E718B6"/>
    <w:rsid w:val="00E71C7E"/>
    <w:rsid w:val="00E71CB0"/>
    <w:rsid w:val="00E723DB"/>
    <w:rsid w:val="00E72903"/>
    <w:rsid w:val="00E7505B"/>
    <w:rsid w:val="00E75659"/>
    <w:rsid w:val="00E75C66"/>
    <w:rsid w:val="00E76017"/>
    <w:rsid w:val="00E769E3"/>
    <w:rsid w:val="00E791E9"/>
    <w:rsid w:val="00E8000B"/>
    <w:rsid w:val="00E80A26"/>
    <w:rsid w:val="00E80C95"/>
    <w:rsid w:val="00E81081"/>
    <w:rsid w:val="00E81BCD"/>
    <w:rsid w:val="00E82353"/>
    <w:rsid w:val="00E82705"/>
    <w:rsid w:val="00E82F37"/>
    <w:rsid w:val="00E84165"/>
    <w:rsid w:val="00E84CE6"/>
    <w:rsid w:val="00E854DA"/>
    <w:rsid w:val="00E8588D"/>
    <w:rsid w:val="00E85953"/>
    <w:rsid w:val="00E85954"/>
    <w:rsid w:val="00E86077"/>
    <w:rsid w:val="00E865D2"/>
    <w:rsid w:val="00E86C06"/>
    <w:rsid w:val="00E8714E"/>
    <w:rsid w:val="00E90424"/>
    <w:rsid w:val="00E909D7"/>
    <w:rsid w:val="00E91329"/>
    <w:rsid w:val="00E91AC5"/>
    <w:rsid w:val="00E91BDB"/>
    <w:rsid w:val="00E91EAF"/>
    <w:rsid w:val="00E940C7"/>
    <w:rsid w:val="00E941F3"/>
    <w:rsid w:val="00E96606"/>
    <w:rsid w:val="00EA03FC"/>
    <w:rsid w:val="00EA0450"/>
    <w:rsid w:val="00EA1301"/>
    <w:rsid w:val="00EA23E4"/>
    <w:rsid w:val="00EA25AB"/>
    <w:rsid w:val="00EA2EEA"/>
    <w:rsid w:val="00EA325C"/>
    <w:rsid w:val="00EA3416"/>
    <w:rsid w:val="00EA38FF"/>
    <w:rsid w:val="00EA439D"/>
    <w:rsid w:val="00EA481C"/>
    <w:rsid w:val="00EA577C"/>
    <w:rsid w:val="00EA5A83"/>
    <w:rsid w:val="00EA5B06"/>
    <w:rsid w:val="00EA66A4"/>
    <w:rsid w:val="00EA682F"/>
    <w:rsid w:val="00EA79EB"/>
    <w:rsid w:val="00EB0203"/>
    <w:rsid w:val="00EB10CC"/>
    <w:rsid w:val="00EB1FD1"/>
    <w:rsid w:val="00EB258E"/>
    <w:rsid w:val="00EB28A7"/>
    <w:rsid w:val="00EB3209"/>
    <w:rsid w:val="00EB3DB4"/>
    <w:rsid w:val="00EB4185"/>
    <w:rsid w:val="00EB4293"/>
    <w:rsid w:val="00EB4A59"/>
    <w:rsid w:val="00EB4DFF"/>
    <w:rsid w:val="00EB55E7"/>
    <w:rsid w:val="00EB5FAC"/>
    <w:rsid w:val="00EB68B4"/>
    <w:rsid w:val="00EB73AC"/>
    <w:rsid w:val="00EB78E6"/>
    <w:rsid w:val="00EC0A5C"/>
    <w:rsid w:val="00EC0C36"/>
    <w:rsid w:val="00EC10C1"/>
    <w:rsid w:val="00EC1121"/>
    <w:rsid w:val="00EC2FB7"/>
    <w:rsid w:val="00EC309B"/>
    <w:rsid w:val="00EC4996"/>
    <w:rsid w:val="00EC57FF"/>
    <w:rsid w:val="00EC5957"/>
    <w:rsid w:val="00EC5EC0"/>
    <w:rsid w:val="00EC7A00"/>
    <w:rsid w:val="00EC7DD2"/>
    <w:rsid w:val="00EC7E76"/>
    <w:rsid w:val="00ED02FB"/>
    <w:rsid w:val="00ED04F0"/>
    <w:rsid w:val="00ED0727"/>
    <w:rsid w:val="00ED21B2"/>
    <w:rsid w:val="00ED27BA"/>
    <w:rsid w:val="00ED2BB5"/>
    <w:rsid w:val="00ED616B"/>
    <w:rsid w:val="00ED6FAE"/>
    <w:rsid w:val="00ED73B0"/>
    <w:rsid w:val="00ED7ECD"/>
    <w:rsid w:val="00EE05DE"/>
    <w:rsid w:val="00EE1DA0"/>
    <w:rsid w:val="00EE2433"/>
    <w:rsid w:val="00EE261F"/>
    <w:rsid w:val="00EE27B7"/>
    <w:rsid w:val="00EE2872"/>
    <w:rsid w:val="00EE2940"/>
    <w:rsid w:val="00EE2A65"/>
    <w:rsid w:val="00EE2E8C"/>
    <w:rsid w:val="00EE3112"/>
    <w:rsid w:val="00EE31C5"/>
    <w:rsid w:val="00EE5E39"/>
    <w:rsid w:val="00EE6679"/>
    <w:rsid w:val="00EE66E9"/>
    <w:rsid w:val="00EE681C"/>
    <w:rsid w:val="00EE7DB5"/>
    <w:rsid w:val="00EE7E86"/>
    <w:rsid w:val="00EF1FF5"/>
    <w:rsid w:val="00EF2682"/>
    <w:rsid w:val="00EF3998"/>
    <w:rsid w:val="00EF3B3C"/>
    <w:rsid w:val="00EF5301"/>
    <w:rsid w:val="00EF7362"/>
    <w:rsid w:val="00EF7FDE"/>
    <w:rsid w:val="00F0059E"/>
    <w:rsid w:val="00F01125"/>
    <w:rsid w:val="00F016D1"/>
    <w:rsid w:val="00F01BCD"/>
    <w:rsid w:val="00F02E98"/>
    <w:rsid w:val="00F035F3"/>
    <w:rsid w:val="00F03E7C"/>
    <w:rsid w:val="00F0412C"/>
    <w:rsid w:val="00F04505"/>
    <w:rsid w:val="00F04526"/>
    <w:rsid w:val="00F0471E"/>
    <w:rsid w:val="00F04A89"/>
    <w:rsid w:val="00F05E19"/>
    <w:rsid w:val="00F07462"/>
    <w:rsid w:val="00F077BB"/>
    <w:rsid w:val="00F077C8"/>
    <w:rsid w:val="00F07F54"/>
    <w:rsid w:val="00F11270"/>
    <w:rsid w:val="00F11860"/>
    <w:rsid w:val="00F11AE2"/>
    <w:rsid w:val="00F11D97"/>
    <w:rsid w:val="00F1289F"/>
    <w:rsid w:val="00F1334F"/>
    <w:rsid w:val="00F139A2"/>
    <w:rsid w:val="00F13D87"/>
    <w:rsid w:val="00F15084"/>
    <w:rsid w:val="00F151DF"/>
    <w:rsid w:val="00F1532C"/>
    <w:rsid w:val="00F15481"/>
    <w:rsid w:val="00F15492"/>
    <w:rsid w:val="00F15DCC"/>
    <w:rsid w:val="00F15F33"/>
    <w:rsid w:val="00F1669E"/>
    <w:rsid w:val="00F16B17"/>
    <w:rsid w:val="00F178CA"/>
    <w:rsid w:val="00F17D1A"/>
    <w:rsid w:val="00F17DAF"/>
    <w:rsid w:val="00F2133C"/>
    <w:rsid w:val="00F21B99"/>
    <w:rsid w:val="00F21F94"/>
    <w:rsid w:val="00F227BA"/>
    <w:rsid w:val="00F227D5"/>
    <w:rsid w:val="00F22C2E"/>
    <w:rsid w:val="00F24420"/>
    <w:rsid w:val="00F24697"/>
    <w:rsid w:val="00F248C7"/>
    <w:rsid w:val="00F24D35"/>
    <w:rsid w:val="00F2548C"/>
    <w:rsid w:val="00F26D38"/>
    <w:rsid w:val="00F279E2"/>
    <w:rsid w:val="00F27B64"/>
    <w:rsid w:val="00F3007D"/>
    <w:rsid w:val="00F3049A"/>
    <w:rsid w:val="00F3092D"/>
    <w:rsid w:val="00F313D4"/>
    <w:rsid w:val="00F3143E"/>
    <w:rsid w:val="00F31907"/>
    <w:rsid w:val="00F3209D"/>
    <w:rsid w:val="00F32CF6"/>
    <w:rsid w:val="00F33061"/>
    <w:rsid w:val="00F3361E"/>
    <w:rsid w:val="00F33D33"/>
    <w:rsid w:val="00F34090"/>
    <w:rsid w:val="00F368B4"/>
    <w:rsid w:val="00F37257"/>
    <w:rsid w:val="00F42002"/>
    <w:rsid w:val="00F421AD"/>
    <w:rsid w:val="00F42EB9"/>
    <w:rsid w:val="00F4314F"/>
    <w:rsid w:val="00F441A1"/>
    <w:rsid w:val="00F45522"/>
    <w:rsid w:val="00F456E0"/>
    <w:rsid w:val="00F46245"/>
    <w:rsid w:val="00F4693C"/>
    <w:rsid w:val="00F47886"/>
    <w:rsid w:val="00F4799B"/>
    <w:rsid w:val="00F503CD"/>
    <w:rsid w:val="00F51B93"/>
    <w:rsid w:val="00F51FC3"/>
    <w:rsid w:val="00F53570"/>
    <w:rsid w:val="00F54833"/>
    <w:rsid w:val="00F556E3"/>
    <w:rsid w:val="00F556EB"/>
    <w:rsid w:val="00F55CC6"/>
    <w:rsid w:val="00F56E8A"/>
    <w:rsid w:val="00F56FDB"/>
    <w:rsid w:val="00F57F82"/>
    <w:rsid w:val="00F60148"/>
    <w:rsid w:val="00F619F8"/>
    <w:rsid w:val="00F62C05"/>
    <w:rsid w:val="00F62FE9"/>
    <w:rsid w:val="00F63259"/>
    <w:rsid w:val="00F638F8"/>
    <w:rsid w:val="00F63E26"/>
    <w:rsid w:val="00F63ED9"/>
    <w:rsid w:val="00F65383"/>
    <w:rsid w:val="00F6558B"/>
    <w:rsid w:val="00F65B06"/>
    <w:rsid w:val="00F65D1E"/>
    <w:rsid w:val="00F6625A"/>
    <w:rsid w:val="00F67042"/>
    <w:rsid w:val="00F672C2"/>
    <w:rsid w:val="00F67DCD"/>
    <w:rsid w:val="00F7013A"/>
    <w:rsid w:val="00F71AAC"/>
    <w:rsid w:val="00F720C8"/>
    <w:rsid w:val="00F72580"/>
    <w:rsid w:val="00F7339D"/>
    <w:rsid w:val="00F738AE"/>
    <w:rsid w:val="00F73C83"/>
    <w:rsid w:val="00F73D15"/>
    <w:rsid w:val="00F74334"/>
    <w:rsid w:val="00F74381"/>
    <w:rsid w:val="00F75532"/>
    <w:rsid w:val="00F75F23"/>
    <w:rsid w:val="00F761E3"/>
    <w:rsid w:val="00F77979"/>
    <w:rsid w:val="00F7B9EE"/>
    <w:rsid w:val="00F801EC"/>
    <w:rsid w:val="00F80AD1"/>
    <w:rsid w:val="00F80BAF"/>
    <w:rsid w:val="00F80E48"/>
    <w:rsid w:val="00F81572"/>
    <w:rsid w:val="00F81845"/>
    <w:rsid w:val="00F82C3D"/>
    <w:rsid w:val="00F843A4"/>
    <w:rsid w:val="00F84B02"/>
    <w:rsid w:val="00F87922"/>
    <w:rsid w:val="00F907F3"/>
    <w:rsid w:val="00F90905"/>
    <w:rsid w:val="00F90B9F"/>
    <w:rsid w:val="00F923B0"/>
    <w:rsid w:val="00F931C7"/>
    <w:rsid w:val="00F93E54"/>
    <w:rsid w:val="00F941D9"/>
    <w:rsid w:val="00F9453B"/>
    <w:rsid w:val="00F945C8"/>
    <w:rsid w:val="00F94B34"/>
    <w:rsid w:val="00F9597B"/>
    <w:rsid w:val="00F96B2E"/>
    <w:rsid w:val="00F96E3D"/>
    <w:rsid w:val="00F9703D"/>
    <w:rsid w:val="00FA0389"/>
    <w:rsid w:val="00FA03CF"/>
    <w:rsid w:val="00FA1EEA"/>
    <w:rsid w:val="00FA22F9"/>
    <w:rsid w:val="00FA2D2D"/>
    <w:rsid w:val="00FA342F"/>
    <w:rsid w:val="00FA38BA"/>
    <w:rsid w:val="00FA42E0"/>
    <w:rsid w:val="00FA4405"/>
    <w:rsid w:val="00FA454B"/>
    <w:rsid w:val="00FA4A85"/>
    <w:rsid w:val="00FA5913"/>
    <w:rsid w:val="00FA6630"/>
    <w:rsid w:val="00FA6746"/>
    <w:rsid w:val="00FA6D56"/>
    <w:rsid w:val="00FA6E3A"/>
    <w:rsid w:val="00FA7637"/>
    <w:rsid w:val="00FA784F"/>
    <w:rsid w:val="00FA7AFE"/>
    <w:rsid w:val="00FB0979"/>
    <w:rsid w:val="00FB0C48"/>
    <w:rsid w:val="00FB0DBB"/>
    <w:rsid w:val="00FB1836"/>
    <w:rsid w:val="00FB1AC8"/>
    <w:rsid w:val="00FB1B36"/>
    <w:rsid w:val="00FB203B"/>
    <w:rsid w:val="00FB28D4"/>
    <w:rsid w:val="00FB3675"/>
    <w:rsid w:val="00FB45A6"/>
    <w:rsid w:val="00FB695A"/>
    <w:rsid w:val="00FB6D06"/>
    <w:rsid w:val="00FB6FE0"/>
    <w:rsid w:val="00FB8779"/>
    <w:rsid w:val="00FC004D"/>
    <w:rsid w:val="00FC01F3"/>
    <w:rsid w:val="00FC09B7"/>
    <w:rsid w:val="00FC0BFF"/>
    <w:rsid w:val="00FC1D75"/>
    <w:rsid w:val="00FC1F72"/>
    <w:rsid w:val="00FC2276"/>
    <w:rsid w:val="00FC247F"/>
    <w:rsid w:val="00FC2A59"/>
    <w:rsid w:val="00FC3247"/>
    <w:rsid w:val="00FC46B7"/>
    <w:rsid w:val="00FC4A8B"/>
    <w:rsid w:val="00FC5883"/>
    <w:rsid w:val="00FC5DAE"/>
    <w:rsid w:val="00FC5E9F"/>
    <w:rsid w:val="00FC64E2"/>
    <w:rsid w:val="00FC6824"/>
    <w:rsid w:val="00FC6A04"/>
    <w:rsid w:val="00FC6ED8"/>
    <w:rsid w:val="00FC71BF"/>
    <w:rsid w:val="00FC7A31"/>
    <w:rsid w:val="00FD076B"/>
    <w:rsid w:val="00FD0C7F"/>
    <w:rsid w:val="00FD0FE2"/>
    <w:rsid w:val="00FD15E8"/>
    <w:rsid w:val="00FD1634"/>
    <w:rsid w:val="00FD23A2"/>
    <w:rsid w:val="00FD26BF"/>
    <w:rsid w:val="00FD2827"/>
    <w:rsid w:val="00FD2D0B"/>
    <w:rsid w:val="00FD4A70"/>
    <w:rsid w:val="00FD50CD"/>
    <w:rsid w:val="00FD651D"/>
    <w:rsid w:val="00FD6C11"/>
    <w:rsid w:val="00FD737C"/>
    <w:rsid w:val="00FD73D7"/>
    <w:rsid w:val="00FD910A"/>
    <w:rsid w:val="00FE1A99"/>
    <w:rsid w:val="00FE1C6E"/>
    <w:rsid w:val="00FE1D8A"/>
    <w:rsid w:val="00FE29E7"/>
    <w:rsid w:val="00FE2A34"/>
    <w:rsid w:val="00FE2AA2"/>
    <w:rsid w:val="00FE3C51"/>
    <w:rsid w:val="00FE3F84"/>
    <w:rsid w:val="00FE41E6"/>
    <w:rsid w:val="00FE48E0"/>
    <w:rsid w:val="00FE54F6"/>
    <w:rsid w:val="00FE5B73"/>
    <w:rsid w:val="00FE6245"/>
    <w:rsid w:val="00FE649E"/>
    <w:rsid w:val="00FE6C4E"/>
    <w:rsid w:val="00FE7FF1"/>
    <w:rsid w:val="00FF042A"/>
    <w:rsid w:val="00FF0AB6"/>
    <w:rsid w:val="00FF0E6C"/>
    <w:rsid w:val="00FF232D"/>
    <w:rsid w:val="00FF2C1A"/>
    <w:rsid w:val="00FF2F46"/>
    <w:rsid w:val="00FF3D35"/>
    <w:rsid w:val="00FF5316"/>
    <w:rsid w:val="00FF5B8C"/>
    <w:rsid w:val="00FF5DD5"/>
    <w:rsid w:val="00FF62F3"/>
    <w:rsid w:val="00FF70D4"/>
    <w:rsid w:val="00FF7D2C"/>
    <w:rsid w:val="00FF7FBC"/>
    <w:rsid w:val="010223A1"/>
    <w:rsid w:val="010A6CB1"/>
    <w:rsid w:val="010D665E"/>
    <w:rsid w:val="0126C52D"/>
    <w:rsid w:val="012DE47C"/>
    <w:rsid w:val="01301A8B"/>
    <w:rsid w:val="0139234F"/>
    <w:rsid w:val="0139ADF5"/>
    <w:rsid w:val="013B5C8D"/>
    <w:rsid w:val="013D1C14"/>
    <w:rsid w:val="014CAD26"/>
    <w:rsid w:val="015A8126"/>
    <w:rsid w:val="015B95D2"/>
    <w:rsid w:val="015C9FF0"/>
    <w:rsid w:val="015EA5B3"/>
    <w:rsid w:val="018B9242"/>
    <w:rsid w:val="01A072C9"/>
    <w:rsid w:val="01A72F8A"/>
    <w:rsid w:val="01B2A0C3"/>
    <w:rsid w:val="01B59014"/>
    <w:rsid w:val="01BD21CA"/>
    <w:rsid w:val="01C271B1"/>
    <w:rsid w:val="01D63632"/>
    <w:rsid w:val="01E373A6"/>
    <w:rsid w:val="01FE7125"/>
    <w:rsid w:val="020E859E"/>
    <w:rsid w:val="020F9483"/>
    <w:rsid w:val="0211CED2"/>
    <w:rsid w:val="02145821"/>
    <w:rsid w:val="021BCAFE"/>
    <w:rsid w:val="022F6AE1"/>
    <w:rsid w:val="02360961"/>
    <w:rsid w:val="023AD541"/>
    <w:rsid w:val="0256B25D"/>
    <w:rsid w:val="02688BD3"/>
    <w:rsid w:val="026A5FE4"/>
    <w:rsid w:val="027C6A69"/>
    <w:rsid w:val="027D9FEA"/>
    <w:rsid w:val="0282C5B2"/>
    <w:rsid w:val="0290E886"/>
    <w:rsid w:val="02959086"/>
    <w:rsid w:val="0299E765"/>
    <w:rsid w:val="02ABB3B0"/>
    <w:rsid w:val="02B9AABF"/>
    <w:rsid w:val="02BED871"/>
    <w:rsid w:val="02C40557"/>
    <w:rsid w:val="02C4A66A"/>
    <w:rsid w:val="02C6BA38"/>
    <w:rsid w:val="02C7B0F9"/>
    <w:rsid w:val="02C7CEBD"/>
    <w:rsid w:val="02C7F629"/>
    <w:rsid w:val="02C81031"/>
    <w:rsid w:val="02CE022D"/>
    <w:rsid w:val="02D3E3D4"/>
    <w:rsid w:val="02E537D6"/>
    <w:rsid w:val="02E600F9"/>
    <w:rsid w:val="02F6712C"/>
    <w:rsid w:val="02F9C2FD"/>
    <w:rsid w:val="03096879"/>
    <w:rsid w:val="030BE809"/>
    <w:rsid w:val="030C3C5A"/>
    <w:rsid w:val="03233A32"/>
    <w:rsid w:val="0325E059"/>
    <w:rsid w:val="0326B7E4"/>
    <w:rsid w:val="0328E49C"/>
    <w:rsid w:val="032D6B1D"/>
    <w:rsid w:val="032EBFB3"/>
    <w:rsid w:val="0356E1D0"/>
    <w:rsid w:val="0365444C"/>
    <w:rsid w:val="036A2C66"/>
    <w:rsid w:val="036B3F41"/>
    <w:rsid w:val="036C25A3"/>
    <w:rsid w:val="036EC270"/>
    <w:rsid w:val="0370245F"/>
    <w:rsid w:val="0370C541"/>
    <w:rsid w:val="037338EA"/>
    <w:rsid w:val="03832339"/>
    <w:rsid w:val="03903D1F"/>
    <w:rsid w:val="039B621F"/>
    <w:rsid w:val="03A64F23"/>
    <w:rsid w:val="03AE3D2E"/>
    <w:rsid w:val="03AFDA02"/>
    <w:rsid w:val="03B667BA"/>
    <w:rsid w:val="03C1113F"/>
    <w:rsid w:val="03D1CCF6"/>
    <w:rsid w:val="03DD894E"/>
    <w:rsid w:val="03E1B1E8"/>
    <w:rsid w:val="03E38A4B"/>
    <w:rsid w:val="03FCE6F5"/>
    <w:rsid w:val="03FDB1D8"/>
    <w:rsid w:val="03FF5B50"/>
    <w:rsid w:val="040CEAAE"/>
    <w:rsid w:val="041EAF38"/>
    <w:rsid w:val="04242F8C"/>
    <w:rsid w:val="04243EAD"/>
    <w:rsid w:val="042D8EE5"/>
    <w:rsid w:val="04327225"/>
    <w:rsid w:val="04459D5D"/>
    <w:rsid w:val="044E253A"/>
    <w:rsid w:val="044F9B56"/>
    <w:rsid w:val="044FF2BE"/>
    <w:rsid w:val="0458AC60"/>
    <w:rsid w:val="0459BBC8"/>
    <w:rsid w:val="045C07E1"/>
    <w:rsid w:val="045F8013"/>
    <w:rsid w:val="046D1BD7"/>
    <w:rsid w:val="047BDDAF"/>
    <w:rsid w:val="047F585D"/>
    <w:rsid w:val="0496E18B"/>
    <w:rsid w:val="049996B7"/>
    <w:rsid w:val="049AEB97"/>
    <w:rsid w:val="04A0E0EE"/>
    <w:rsid w:val="04A8D239"/>
    <w:rsid w:val="04B5E636"/>
    <w:rsid w:val="04BCACA8"/>
    <w:rsid w:val="04C06BA7"/>
    <w:rsid w:val="04C52430"/>
    <w:rsid w:val="04C6BB76"/>
    <w:rsid w:val="04D4AA8D"/>
    <w:rsid w:val="04DCEE61"/>
    <w:rsid w:val="04DEC7EE"/>
    <w:rsid w:val="04E2515E"/>
    <w:rsid w:val="04E3D13B"/>
    <w:rsid w:val="04E9E49E"/>
    <w:rsid w:val="04EE50E4"/>
    <w:rsid w:val="04EF0A39"/>
    <w:rsid w:val="04EF75D6"/>
    <w:rsid w:val="04F11696"/>
    <w:rsid w:val="04F1A833"/>
    <w:rsid w:val="04F2A336"/>
    <w:rsid w:val="04F44F3D"/>
    <w:rsid w:val="04FD36DA"/>
    <w:rsid w:val="04FDC5CD"/>
    <w:rsid w:val="0502BE05"/>
    <w:rsid w:val="050C5B83"/>
    <w:rsid w:val="050C6796"/>
    <w:rsid w:val="05159A54"/>
    <w:rsid w:val="0515AD21"/>
    <w:rsid w:val="051CE6AB"/>
    <w:rsid w:val="0521D5D7"/>
    <w:rsid w:val="05246D66"/>
    <w:rsid w:val="052923A5"/>
    <w:rsid w:val="053978B2"/>
    <w:rsid w:val="053AB238"/>
    <w:rsid w:val="053EBDA4"/>
    <w:rsid w:val="054A8599"/>
    <w:rsid w:val="05528720"/>
    <w:rsid w:val="05617E0B"/>
    <w:rsid w:val="05635701"/>
    <w:rsid w:val="05734C10"/>
    <w:rsid w:val="0574803B"/>
    <w:rsid w:val="0589752C"/>
    <w:rsid w:val="0599D68B"/>
    <w:rsid w:val="059DA7AB"/>
    <w:rsid w:val="05B5EADB"/>
    <w:rsid w:val="05B67F34"/>
    <w:rsid w:val="05B78F92"/>
    <w:rsid w:val="05C18BB7"/>
    <w:rsid w:val="05CFFBBC"/>
    <w:rsid w:val="05DB3CEE"/>
    <w:rsid w:val="05DCA1F9"/>
    <w:rsid w:val="05E58852"/>
    <w:rsid w:val="05E833C1"/>
    <w:rsid w:val="05E8AF70"/>
    <w:rsid w:val="05F4ECF4"/>
    <w:rsid w:val="05F91C4E"/>
    <w:rsid w:val="05F99ECE"/>
    <w:rsid w:val="05FAE129"/>
    <w:rsid w:val="06041631"/>
    <w:rsid w:val="06145A4E"/>
    <w:rsid w:val="06185239"/>
    <w:rsid w:val="0622B2D1"/>
    <w:rsid w:val="06252A2D"/>
    <w:rsid w:val="063ADE0D"/>
    <w:rsid w:val="0643EEEE"/>
    <w:rsid w:val="0644542A"/>
    <w:rsid w:val="064D9A3B"/>
    <w:rsid w:val="0657656A"/>
    <w:rsid w:val="0658578F"/>
    <w:rsid w:val="065C18A6"/>
    <w:rsid w:val="065E40CA"/>
    <w:rsid w:val="067156C2"/>
    <w:rsid w:val="067CAADC"/>
    <w:rsid w:val="0681BCCC"/>
    <w:rsid w:val="068CFE8F"/>
    <w:rsid w:val="06BAB9D2"/>
    <w:rsid w:val="06BDA2E3"/>
    <w:rsid w:val="06C2A5D5"/>
    <w:rsid w:val="06C98EA9"/>
    <w:rsid w:val="06CCE16F"/>
    <w:rsid w:val="06CF05D7"/>
    <w:rsid w:val="06D9AFC7"/>
    <w:rsid w:val="06F1EE79"/>
    <w:rsid w:val="06F7D592"/>
    <w:rsid w:val="071583AE"/>
    <w:rsid w:val="0718348C"/>
    <w:rsid w:val="071C4460"/>
    <w:rsid w:val="07212EFB"/>
    <w:rsid w:val="072863CD"/>
    <w:rsid w:val="072FEE28"/>
    <w:rsid w:val="073946EE"/>
    <w:rsid w:val="07542074"/>
    <w:rsid w:val="075827D5"/>
    <w:rsid w:val="0761C23A"/>
    <w:rsid w:val="0774B250"/>
    <w:rsid w:val="0782123A"/>
    <w:rsid w:val="0783645B"/>
    <w:rsid w:val="0794122B"/>
    <w:rsid w:val="07A28EEA"/>
    <w:rsid w:val="07A7C75C"/>
    <w:rsid w:val="07AE2720"/>
    <w:rsid w:val="07B57FD2"/>
    <w:rsid w:val="07C48DA3"/>
    <w:rsid w:val="07C5264A"/>
    <w:rsid w:val="07CB2A9D"/>
    <w:rsid w:val="07CF2B1B"/>
    <w:rsid w:val="07CFA289"/>
    <w:rsid w:val="07D21281"/>
    <w:rsid w:val="07DA64B1"/>
    <w:rsid w:val="07DB506C"/>
    <w:rsid w:val="07DD8C69"/>
    <w:rsid w:val="07EA943A"/>
    <w:rsid w:val="07FEF9D5"/>
    <w:rsid w:val="08074D8E"/>
    <w:rsid w:val="083586D8"/>
    <w:rsid w:val="0842BC5D"/>
    <w:rsid w:val="0855F1DF"/>
    <w:rsid w:val="0856A8C7"/>
    <w:rsid w:val="08620452"/>
    <w:rsid w:val="08629A59"/>
    <w:rsid w:val="0865C0B4"/>
    <w:rsid w:val="086A5A68"/>
    <w:rsid w:val="0871EC8B"/>
    <w:rsid w:val="08732334"/>
    <w:rsid w:val="0884EB75"/>
    <w:rsid w:val="088C5317"/>
    <w:rsid w:val="08904DFE"/>
    <w:rsid w:val="08933FB4"/>
    <w:rsid w:val="0895B008"/>
    <w:rsid w:val="089DAB0C"/>
    <w:rsid w:val="089F9DFF"/>
    <w:rsid w:val="08A08166"/>
    <w:rsid w:val="08A28888"/>
    <w:rsid w:val="08A3085F"/>
    <w:rsid w:val="08A5BC5F"/>
    <w:rsid w:val="08A6B7D1"/>
    <w:rsid w:val="08B00D3F"/>
    <w:rsid w:val="08B9440D"/>
    <w:rsid w:val="08C59861"/>
    <w:rsid w:val="08C5F3B3"/>
    <w:rsid w:val="08C96D93"/>
    <w:rsid w:val="08D1D8C8"/>
    <w:rsid w:val="08DACE59"/>
    <w:rsid w:val="08E6895A"/>
    <w:rsid w:val="08EE970B"/>
    <w:rsid w:val="08FBF7E4"/>
    <w:rsid w:val="090D5C1F"/>
    <w:rsid w:val="091157AD"/>
    <w:rsid w:val="0915B01C"/>
    <w:rsid w:val="09209D20"/>
    <w:rsid w:val="092C29FC"/>
    <w:rsid w:val="092EB846"/>
    <w:rsid w:val="093516D1"/>
    <w:rsid w:val="0935A378"/>
    <w:rsid w:val="0937267B"/>
    <w:rsid w:val="0941CBE1"/>
    <w:rsid w:val="094249F5"/>
    <w:rsid w:val="094724C1"/>
    <w:rsid w:val="09478080"/>
    <w:rsid w:val="09528F40"/>
    <w:rsid w:val="09543F7C"/>
    <w:rsid w:val="095A7AB3"/>
    <w:rsid w:val="096AEEAA"/>
    <w:rsid w:val="096C63E8"/>
    <w:rsid w:val="09751AD3"/>
    <w:rsid w:val="097D6DD8"/>
    <w:rsid w:val="0990CF10"/>
    <w:rsid w:val="0997C865"/>
    <w:rsid w:val="09A9CFCA"/>
    <w:rsid w:val="09CE3E59"/>
    <w:rsid w:val="09D4B698"/>
    <w:rsid w:val="09D6C66B"/>
    <w:rsid w:val="09D8F328"/>
    <w:rsid w:val="09E4A338"/>
    <w:rsid w:val="09E61EFF"/>
    <w:rsid w:val="09F07C10"/>
    <w:rsid w:val="09F978AF"/>
    <w:rsid w:val="09F9F7BF"/>
    <w:rsid w:val="09FF5D47"/>
    <w:rsid w:val="0A0B4F6E"/>
    <w:rsid w:val="0A0BD9E2"/>
    <w:rsid w:val="0A106D48"/>
    <w:rsid w:val="0A123715"/>
    <w:rsid w:val="0A1F462C"/>
    <w:rsid w:val="0A228C0D"/>
    <w:rsid w:val="0A453485"/>
    <w:rsid w:val="0A50AF4F"/>
    <w:rsid w:val="0A58B5CD"/>
    <w:rsid w:val="0A5F58E5"/>
    <w:rsid w:val="0A5F7884"/>
    <w:rsid w:val="0A65C06B"/>
    <w:rsid w:val="0A67D065"/>
    <w:rsid w:val="0A7014AB"/>
    <w:rsid w:val="0A73EFDF"/>
    <w:rsid w:val="0A752541"/>
    <w:rsid w:val="0A7CD3C9"/>
    <w:rsid w:val="0A80AAE5"/>
    <w:rsid w:val="0A85DA42"/>
    <w:rsid w:val="0A867CD5"/>
    <w:rsid w:val="0A88A382"/>
    <w:rsid w:val="0A89F2F6"/>
    <w:rsid w:val="0A92A69F"/>
    <w:rsid w:val="0A92BCD3"/>
    <w:rsid w:val="0A970F4D"/>
    <w:rsid w:val="0A9B190E"/>
    <w:rsid w:val="0A9CC2F5"/>
    <w:rsid w:val="0AA1FB40"/>
    <w:rsid w:val="0AA40E20"/>
    <w:rsid w:val="0AAD74B3"/>
    <w:rsid w:val="0AAE08BD"/>
    <w:rsid w:val="0AB0FFA5"/>
    <w:rsid w:val="0AB2835E"/>
    <w:rsid w:val="0ACE20C9"/>
    <w:rsid w:val="0AD02F62"/>
    <w:rsid w:val="0AD4ACD3"/>
    <w:rsid w:val="0AE97B92"/>
    <w:rsid w:val="0AEF200D"/>
    <w:rsid w:val="0AF2AADB"/>
    <w:rsid w:val="0AF6C24A"/>
    <w:rsid w:val="0B0858C9"/>
    <w:rsid w:val="0B088A5C"/>
    <w:rsid w:val="0B09313C"/>
    <w:rsid w:val="0B0A4AFD"/>
    <w:rsid w:val="0B0BF0AB"/>
    <w:rsid w:val="0B0D9D5D"/>
    <w:rsid w:val="0B3850C4"/>
    <w:rsid w:val="0B3C1734"/>
    <w:rsid w:val="0B3E575D"/>
    <w:rsid w:val="0B40F532"/>
    <w:rsid w:val="0B442AF1"/>
    <w:rsid w:val="0B577BEF"/>
    <w:rsid w:val="0B5FDC5A"/>
    <w:rsid w:val="0B78FFD4"/>
    <w:rsid w:val="0B86760B"/>
    <w:rsid w:val="0B86E9B9"/>
    <w:rsid w:val="0B91F733"/>
    <w:rsid w:val="0BA81D76"/>
    <w:rsid w:val="0BAB69C8"/>
    <w:rsid w:val="0BAEA671"/>
    <w:rsid w:val="0BB19512"/>
    <w:rsid w:val="0BB4C403"/>
    <w:rsid w:val="0BCBA794"/>
    <w:rsid w:val="0BDDCC0F"/>
    <w:rsid w:val="0BF02FB3"/>
    <w:rsid w:val="0BF3BF37"/>
    <w:rsid w:val="0BFB88F3"/>
    <w:rsid w:val="0BFB98D8"/>
    <w:rsid w:val="0BFCDFE1"/>
    <w:rsid w:val="0C02B739"/>
    <w:rsid w:val="0C22AF0C"/>
    <w:rsid w:val="0C3101A1"/>
    <w:rsid w:val="0C3FA76B"/>
    <w:rsid w:val="0C61A3AF"/>
    <w:rsid w:val="0C67D087"/>
    <w:rsid w:val="0C68C4FE"/>
    <w:rsid w:val="0C6C0F08"/>
    <w:rsid w:val="0C72632A"/>
    <w:rsid w:val="0C803225"/>
    <w:rsid w:val="0C825415"/>
    <w:rsid w:val="0C88EA0F"/>
    <w:rsid w:val="0C8BB542"/>
    <w:rsid w:val="0C8BF950"/>
    <w:rsid w:val="0C8E6B75"/>
    <w:rsid w:val="0C92CDE2"/>
    <w:rsid w:val="0C96A119"/>
    <w:rsid w:val="0C992E3C"/>
    <w:rsid w:val="0C9BFE66"/>
    <w:rsid w:val="0CA312D2"/>
    <w:rsid w:val="0CA3B225"/>
    <w:rsid w:val="0CAA1E30"/>
    <w:rsid w:val="0CAA41DA"/>
    <w:rsid w:val="0CB259B5"/>
    <w:rsid w:val="0CB5A452"/>
    <w:rsid w:val="0CBCFCBA"/>
    <w:rsid w:val="0CC4590B"/>
    <w:rsid w:val="0CC9DEAE"/>
    <w:rsid w:val="0CCD3AE2"/>
    <w:rsid w:val="0CD0BB01"/>
    <w:rsid w:val="0CD45987"/>
    <w:rsid w:val="0CDC0C3E"/>
    <w:rsid w:val="0CDD8AFD"/>
    <w:rsid w:val="0CDDC161"/>
    <w:rsid w:val="0CE916BC"/>
    <w:rsid w:val="0CF27B7F"/>
    <w:rsid w:val="0CF7E8BB"/>
    <w:rsid w:val="0D04EAAC"/>
    <w:rsid w:val="0D07826B"/>
    <w:rsid w:val="0D1F8524"/>
    <w:rsid w:val="0D219C95"/>
    <w:rsid w:val="0D2E38FD"/>
    <w:rsid w:val="0D2EF47F"/>
    <w:rsid w:val="0D339796"/>
    <w:rsid w:val="0D3BD8E3"/>
    <w:rsid w:val="0D3C3368"/>
    <w:rsid w:val="0D45ABC3"/>
    <w:rsid w:val="0D4D4FCD"/>
    <w:rsid w:val="0D4FA7A3"/>
    <w:rsid w:val="0D63A770"/>
    <w:rsid w:val="0D648882"/>
    <w:rsid w:val="0D90012F"/>
    <w:rsid w:val="0D986F46"/>
    <w:rsid w:val="0DAA190C"/>
    <w:rsid w:val="0DB11040"/>
    <w:rsid w:val="0DB908E5"/>
    <w:rsid w:val="0DBBCBA0"/>
    <w:rsid w:val="0DC68462"/>
    <w:rsid w:val="0DC81B9E"/>
    <w:rsid w:val="0DC8EF98"/>
    <w:rsid w:val="0DCBC36A"/>
    <w:rsid w:val="0DD451F5"/>
    <w:rsid w:val="0DDE3D49"/>
    <w:rsid w:val="0DF2ABE4"/>
    <w:rsid w:val="0DF42B89"/>
    <w:rsid w:val="0DF7496A"/>
    <w:rsid w:val="0DFC9B33"/>
    <w:rsid w:val="0DFF3F00"/>
    <w:rsid w:val="0E19090A"/>
    <w:rsid w:val="0E1B3A16"/>
    <w:rsid w:val="0E1BCB05"/>
    <w:rsid w:val="0E1DC018"/>
    <w:rsid w:val="0E24AF14"/>
    <w:rsid w:val="0E2A5D9B"/>
    <w:rsid w:val="0E2CFACF"/>
    <w:rsid w:val="0E33F12F"/>
    <w:rsid w:val="0E35009C"/>
    <w:rsid w:val="0E3DDE49"/>
    <w:rsid w:val="0E5073A9"/>
    <w:rsid w:val="0E630923"/>
    <w:rsid w:val="0E668498"/>
    <w:rsid w:val="0E673DDC"/>
    <w:rsid w:val="0E6CD4A7"/>
    <w:rsid w:val="0E6E8ED7"/>
    <w:rsid w:val="0E75E7DE"/>
    <w:rsid w:val="0E793495"/>
    <w:rsid w:val="0E82B1B3"/>
    <w:rsid w:val="0E847C98"/>
    <w:rsid w:val="0E8A35A9"/>
    <w:rsid w:val="0E8C38E7"/>
    <w:rsid w:val="0E8C4AB0"/>
    <w:rsid w:val="0E8E214E"/>
    <w:rsid w:val="0E978ACB"/>
    <w:rsid w:val="0E9F0812"/>
    <w:rsid w:val="0EA17AE7"/>
    <w:rsid w:val="0EA35624"/>
    <w:rsid w:val="0EC997A4"/>
    <w:rsid w:val="0ED113AC"/>
    <w:rsid w:val="0EE5E8E4"/>
    <w:rsid w:val="0F02DD56"/>
    <w:rsid w:val="0F03043B"/>
    <w:rsid w:val="0F032441"/>
    <w:rsid w:val="0F0902D4"/>
    <w:rsid w:val="0F0FB436"/>
    <w:rsid w:val="0F189794"/>
    <w:rsid w:val="0F1C9AB1"/>
    <w:rsid w:val="0F2BABCC"/>
    <w:rsid w:val="0F44B2E9"/>
    <w:rsid w:val="0F471039"/>
    <w:rsid w:val="0F510F92"/>
    <w:rsid w:val="0F52A28F"/>
    <w:rsid w:val="0F56FC04"/>
    <w:rsid w:val="0F5A73E6"/>
    <w:rsid w:val="0F5ABEF5"/>
    <w:rsid w:val="0F5ADF1A"/>
    <w:rsid w:val="0F6B8B6D"/>
    <w:rsid w:val="0F6D993F"/>
    <w:rsid w:val="0F746B40"/>
    <w:rsid w:val="0F8E00E5"/>
    <w:rsid w:val="0FABC3B6"/>
    <w:rsid w:val="0FB3FAF0"/>
    <w:rsid w:val="0FB5381F"/>
    <w:rsid w:val="0FBA4E13"/>
    <w:rsid w:val="0FC5AA9E"/>
    <w:rsid w:val="0FCA2074"/>
    <w:rsid w:val="0FCDEA61"/>
    <w:rsid w:val="0FCE41A3"/>
    <w:rsid w:val="0FD859FE"/>
    <w:rsid w:val="0FEDF738"/>
    <w:rsid w:val="0FF0962B"/>
    <w:rsid w:val="0FF7CEF4"/>
    <w:rsid w:val="0FFD6A64"/>
    <w:rsid w:val="100272E1"/>
    <w:rsid w:val="100844D2"/>
    <w:rsid w:val="100DE166"/>
    <w:rsid w:val="100FFF19"/>
    <w:rsid w:val="1011F006"/>
    <w:rsid w:val="102A4886"/>
    <w:rsid w:val="10360668"/>
    <w:rsid w:val="103B0B87"/>
    <w:rsid w:val="1041CB9A"/>
    <w:rsid w:val="1043AD0E"/>
    <w:rsid w:val="1046B005"/>
    <w:rsid w:val="104AB4FF"/>
    <w:rsid w:val="1054609C"/>
    <w:rsid w:val="106212CA"/>
    <w:rsid w:val="10668BE8"/>
    <w:rsid w:val="1068A1F7"/>
    <w:rsid w:val="106B507A"/>
    <w:rsid w:val="106C68A8"/>
    <w:rsid w:val="10863A92"/>
    <w:rsid w:val="10A53237"/>
    <w:rsid w:val="10AB3996"/>
    <w:rsid w:val="10B0D83A"/>
    <w:rsid w:val="10B2D134"/>
    <w:rsid w:val="10CFE92B"/>
    <w:rsid w:val="10E0D529"/>
    <w:rsid w:val="10E751D6"/>
    <w:rsid w:val="10F03418"/>
    <w:rsid w:val="10F3E430"/>
    <w:rsid w:val="10F42D7D"/>
    <w:rsid w:val="10F86821"/>
    <w:rsid w:val="11025BE2"/>
    <w:rsid w:val="1103E895"/>
    <w:rsid w:val="1104913B"/>
    <w:rsid w:val="111CEEC2"/>
    <w:rsid w:val="111DD453"/>
    <w:rsid w:val="111EBC48"/>
    <w:rsid w:val="112236F3"/>
    <w:rsid w:val="112333E6"/>
    <w:rsid w:val="112FFDB0"/>
    <w:rsid w:val="113D3A8F"/>
    <w:rsid w:val="113DDF25"/>
    <w:rsid w:val="113EC162"/>
    <w:rsid w:val="113F57B9"/>
    <w:rsid w:val="116BCA8A"/>
    <w:rsid w:val="117B19BA"/>
    <w:rsid w:val="1182E194"/>
    <w:rsid w:val="118EE23A"/>
    <w:rsid w:val="11999E8E"/>
    <w:rsid w:val="119AD46E"/>
    <w:rsid w:val="119E943C"/>
    <w:rsid w:val="11A60A96"/>
    <w:rsid w:val="11A9FD9F"/>
    <w:rsid w:val="11ACED82"/>
    <w:rsid w:val="11B46208"/>
    <w:rsid w:val="11B89E9C"/>
    <w:rsid w:val="11BB30B5"/>
    <w:rsid w:val="11C128A2"/>
    <w:rsid w:val="11C886E8"/>
    <w:rsid w:val="11C8E733"/>
    <w:rsid w:val="11D98983"/>
    <w:rsid w:val="11DB3178"/>
    <w:rsid w:val="11E35264"/>
    <w:rsid w:val="11F529F1"/>
    <w:rsid w:val="11FAF7AD"/>
    <w:rsid w:val="12031B76"/>
    <w:rsid w:val="120588CD"/>
    <w:rsid w:val="12088014"/>
    <w:rsid w:val="120D3567"/>
    <w:rsid w:val="120F180B"/>
    <w:rsid w:val="1212993B"/>
    <w:rsid w:val="1221FA98"/>
    <w:rsid w:val="122EE783"/>
    <w:rsid w:val="123D98D2"/>
    <w:rsid w:val="124557B7"/>
    <w:rsid w:val="125CF598"/>
    <w:rsid w:val="1262AFD7"/>
    <w:rsid w:val="126658DB"/>
    <w:rsid w:val="12687120"/>
    <w:rsid w:val="128415BE"/>
    <w:rsid w:val="1285A7AE"/>
    <w:rsid w:val="1291907A"/>
    <w:rsid w:val="1292D4F7"/>
    <w:rsid w:val="129ACB36"/>
    <w:rsid w:val="129D9387"/>
    <w:rsid w:val="12AB4253"/>
    <w:rsid w:val="12B1270A"/>
    <w:rsid w:val="12C49E0C"/>
    <w:rsid w:val="12DCCB8F"/>
    <w:rsid w:val="12DF80D4"/>
    <w:rsid w:val="12E2F1DD"/>
    <w:rsid w:val="12E42BCC"/>
    <w:rsid w:val="12F9B775"/>
    <w:rsid w:val="130129E5"/>
    <w:rsid w:val="13030009"/>
    <w:rsid w:val="13195ABA"/>
    <w:rsid w:val="131D90CB"/>
    <w:rsid w:val="132372AC"/>
    <w:rsid w:val="132EE0AF"/>
    <w:rsid w:val="13348DC5"/>
    <w:rsid w:val="133D30AB"/>
    <w:rsid w:val="1343A4FF"/>
    <w:rsid w:val="134CADC6"/>
    <w:rsid w:val="1370FEF7"/>
    <w:rsid w:val="13717431"/>
    <w:rsid w:val="13719D80"/>
    <w:rsid w:val="1374D623"/>
    <w:rsid w:val="137E5FC7"/>
    <w:rsid w:val="1382A897"/>
    <w:rsid w:val="138961F1"/>
    <w:rsid w:val="139CAD13"/>
    <w:rsid w:val="139F39E8"/>
    <w:rsid w:val="13A7D2AC"/>
    <w:rsid w:val="13B18C74"/>
    <w:rsid w:val="13B77079"/>
    <w:rsid w:val="13BC8B34"/>
    <w:rsid w:val="13C0719E"/>
    <w:rsid w:val="13C13B62"/>
    <w:rsid w:val="13D6C861"/>
    <w:rsid w:val="13DD3318"/>
    <w:rsid w:val="13E56C1C"/>
    <w:rsid w:val="13E6E03A"/>
    <w:rsid w:val="13F05C01"/>
    <w:rsid w:val="13FC0450"/>
    <w:rsid w:val="13FC0FE7"/>
    <w:rsid w:val="1400C835"/>
    <w:rsid w:val="1406526B"/>
    <w:rsid w:val="14068C63"/>
    <w:rsid w:val="140A2DE7"/>
    <w:rsid w:val="140BEB9F"/>
    <w:rsid w:val="140F3E6A"/>
    <w:rsid w:val="1412E826"/>
    <w:rsid w:val="141F65C6"/>
    <w:rsid w:val="1425E298"/>
    <w:rsid w:val="142C57BC"/>
    <w:rsid w:val="142E9DE4"/>
    <w:rsid w:val="14310858"/>
    <w:rsid w:val="1435A6E4"/>
    <w:rsid w:val="143C7C4F"/>
    <w:rsid w:val="1442D36C"/>
    <w:rsid w:val="1450702F"/>
    <w:rsid w:val="14538C08"/>
    <w:rsid w:val="145813AB"/>
    <w:rsid w:val="145D5505"/>
    <w:rsid w:val="145F5FD6"/>
    <w:rsid w:val="146124A6"/>
    <w:rsid w:val="146466FB"/>
    <w:rsid w:val="1478581D"/>
    <w:rsid w:val="14796F18"/>
    <w:rsid w:val="147DC50B"/>
    <w:rsid w:val="1483C7A0"/>
    <w:rsid w:val="149276D3"/>
    <w:rsid w:val="14A78644"/>
    <w:rsid w:val="14B553CF"/>
    <w:rsid w:val="14B60543"/>
    <w:rsid w:val="14BD36B3"/>
    <w:rsid w:val="14D05701"/>
    <w:rsid w:val="14D35724"/>
    <w:rsid w:val="14DAE615"/>
    <w:rsid w:val="14DD482F"/>
    <w:rsid w:val="14DF6D92"/>
    <w:rsid w:val="14F7E4DB"/>
    <w:rsid w:val="1505844C"/>
    <w:rsid w:val="15150629"/>
    <w:rsid w:val="15230C82"/>
    <w:rsid w:val="15314D03"/>
    <w:rsid w:val="15360E1A"/>
    <w:rsid w:val="1544ACDE"/>
    <w:rsid w:val="1549DE62"/>
    <w:rsid w:val="154D4469"/>
    <w:rsid w:val="155EB6CB"/>
    <w:rsid w:val="155EBDC1"/>
    <w:rsid w:val="155FC58F"/>
    <w:rsid w:val="1561CC92"/>
    <w:rsid w:val="157401A5"/>
    <w:rsid w:val="15937162"/>
    <w:rsid w:val="1597B442"/>
    <w:rsid w:val="159C3C84"/>
    <w:rsid w:val="159E7F1D"/>
    <w:rsid w:val="15AE72C7"/>
    <w:rsid w:val="15B34EAA"/>
    <w:rsid w:val="15C2F833"/>
    <w:rsid w:val="15C74237"/>
    <w:rsid w:val="15E38C0A"/>
    <w:rsid w:val="15E436F5"/>
    <w:rsid w:val="15EA35EF"/>
    <w:rsid w:val="15ED5F3A"/>
    <w:rsid w:val="15F7C84F"/>
    <w:rsid w:val="15F80A37"/>
    <w:rsid w:val="160327B5"/>
    <w:rsid w:val="16048AA9"/>
    <w:rsid w:val="1619B320"/>
    <w:rsid w:val="16255489"/>
    <w:rsid w:val="163FDC83"/>
    <w:rsid w:val="16404DA3"/>
    <w:rsid w:val="1644F8FC"/>
    <w:rsid w:val="164642E3"/>
    <w:rsid w:val="16502E62"/>
    <w:rsid w:val="16576CC1"/>
    <w:rsid w:val="16633CFB"/>
    <w:rsid w:val="166B20BB"/>
    <w:rsid w:val="167800B3"/>
    <w:rsid w:val="1679D33D"/>
    <w:rsid w:val="167BE2B3"/>
    <w:rsid w:val="167D1774"/>
    <w:rsid w:val="1695B9DC"/>
    <w:rsid w:val="16991285"/>
    <w:rsid w:val="169CC441"/>
    <w:rsid w:val="169ED6EA"/>
    <w:rsid w:val="16AB4E18"/>
    <w:rsid w:val="16B2096A"/>
    <w:rsid w:val="16BB3C2E"/>
    <w:rsid w:val="16D6658E"/>
    <w:rsid w:val="16DD09F2"/>
    <w:rsid w:val="16FAA977"/>
    <w:rsid w:val="17055227"/>
    <w:rsid w:val="17178C54"/>
    <w:rsid w:val="172013B9"/>
    <w:rsid w:val="172195DA"/>
    <w:rsid w:val="172B908B"/>
    <w:rsid w:val="1739C4E1"/>
    <w:rsid w:val="173A9F23"/>
    <w:rsid w:val="1751732B"/>
    <w:rsid w:val="1754420B"/>
    <w:rsid w:val="1756B00F"/>
    <w:rsid w:val="175AED22"/>
    <w:rsid w:val="175CDF7C"/>
    <w:rsid w:val="175FEAA2"/>
    <w:rsid w:val="17609C2A"/>
    <w:rsid w:val="176D47D6"/>
    <w:rsid w:val="1789DCF5"/>
    <w:rsid w:val="178AC6D9"/>
    <w:rsid w:val="1794D4F6"/>
    <w:rsid w:val="179AD09A"/>
    <w:rsid w:val="179D99FC"/>
    <w:rsid w:val="17A95324"/>
    <w:rsid w:val="17AA9592"/>
    <w:rsid w:val="17B30173"/>
    <w:rsid w:val="17B3D6E2"/>
    <w:rsid w:val="17C9B0C6"/>
    <w:rsid w:val="17CCD470"/>
    <w:rsid w:val="17DB8779"/>
    <w:rsid w:val="17E20785"/>
    <w:rsid w:val="17E88452"/>
    <w:rsid w:val="17EA742F"/>
    <w:rsid w:val="17EC1BDE"/>
    <w:rsid w:val="17ECA128"/>
    <w:rsid w:val="180F2996"/>
    <w:rsid w:val="1810608F"/>
    <w:rsid w:val="18181BEC"/>
    <w:rsid w:val="1818EA82"/>
    <w:rsid w:val="181AC8C2"/>
    <w:rsid w:val="181E88DF"/>
    <w:rsid w:val="1821AB21"/>
    <w:rsid w:val="1824A6B5"/>
    <w:rsid w:val="182646A7"/>
    <w:rsid w:val="182798FC"/>
    <w:rsid w:val="182D84B7"/>
    <w:rsid w:val="182F37B5"/>
    <w:rsid w:val="1832340C"/>
    <w:rsid w:val="183922D7"/>
    <w:rsid w:val="183D20C3"/>
    <w:rsid w:val="183DE85F"/>
    <w:rsid w:val="184A6384"/>
    <w:rsid w:val="1858A680"/>
    <w:rsid w:val="185CC29F"/>
    <w:rsid w:val="185E9ACD"/>
    <w:rsid w:val="186A1377"/>
    <w:rsid w:val="186E03A4"/>
    <w:rsid w:val="18733508"/>
    <w:rsid w:val="187B72E6"/>
    <w:rsid w:val="187C6C21"/>
    <w:rsid w:val="1880219E"/>
    <w:rsid w:val="18876CEE"/>
    <w:rsid w:val="1896F735"/>
    <w:rsid w:val="18A8979F"/>
    <w:rsid w:val="18B14A26"/>
    <w:rsid w:val="18B2CE7B"/>
    <w:rsid w:val="18B4E639"/>
    <w:rsid w:val="18C62860"/>
    <w:rsid w:val="18CC8646"/>
    <w:rsid w:val="18E55A6F"/>
    <w:rsid w:val="18E56185"/>
    <w:rsid w:val="18EB0BA4"/>
    <w:rsid w:val="18ED44F5"/>
    <w:rsid w:val="18F47630"/>
    <w:rsid w:val="18FE0DD9"/>
    <w:rsid w:val="18FE101F"/>
    <w:rsid w:val="1909D9F7"/>
    <w:rsid w:val="1921A41A"/>
    <w:rsid w:val="19245662"/>
    <w:rsid w:val="192E5396"/>
    <w:rsid w:val="1930D131"/>
    <w:rsid w:val="19317D92"/>
    <w:rsid w:val="19517A5A"/>
    <w:rsid w:val="19581FA2"/>
    <w:rsid w:val="1967998F"/>
    <w:rsid w:val="196FC422"/>
    <w:rsid w:val="19735B01"/>
    <w:rsid w:val="198B4318"/>
    <w:rsid w:val="198B9AAD"/>
    <w:rsid w:val="199325CD"/>
    <w:rsid w:val="199A2583"/>
    <w:rsid w:val="199B1267"/>
    <w:rsid w:val="199E1034"/>
    <w:rsid w:val="19A590F0"/>
    <w:rsid w:val="19B19872"/>
    <w:rsid w:val="19BDD6E5"/>
    <w:rsid w:val="19CE922C"/>
    <w:rsid w:val="19D146C7"/>
    <w:rsid w:val="19D19822"/>
    <w:rsid w:val="19D2CF1E"/>
    <w:rsid w:val="19D81D74"/>
    <w:rsid w:val="19DEDE15"/>
    <w:rsid w:val="19E4CC68"/>
    <w:rsid w:val="19E6B147"/>
    <w:rsid w:val="19E910AC"/>
    <w:rsid w:val="19EA4DF2"/>
    <w:rsid w:val="19EBDA9C"/>
    <w:rsid w:val="19F358F8"/>
    <w:rsid w:val="1A17D536"/>
    <w:rsid w:val="1A1F1ADB"/>
    <w:rsid w:val="1A20497D"/>
    <w:rsid w:val="1A291843"/>
    <w:rsid w:val="1A2A87A0"/>
    <w:rsid w:val="1A2D347E"/>
    <w:rsid w:val="1A40F9A0"/>
    <w:rsid w:val="1A42A0EB"/>
    <w:rsid w:val="1A464E2F"/>
    <w:rsid w:val="1A50AF74"/>
    <w:rsid w:val="1A5AD891"/>
    <w:rsid w:val="1A5C79A7"/>
    <w:rsid w:val="1A61CA21"/>
    <w:rsid w:val="1A6864C6"/>
    <w:rsid w:val="1A699EB9"/>
    <w:rsid w:val="1A6F5BEF"/>
    <w:rsid w:val="1A78711C"/>
    <w:rsid w:val="1A855F19"/>
    <w:rsid w:val="1A8593E8"/>
    <w:rsid w:val="1A960331"/>
    <w:rsid w:val="1A962BE8"/>
    <w:rsid w:val="1A986DF2"/>
    <w:rsid w:val="1A994CDC"/>
    <w:rsid w:val="1AA2F2CB"/>
    <w:rsid w:val="1AA833AA"/>
    <w:rsid w:val="1AAC3206"/>
    <w:rsid w:val="1AB25475"/>
    <w:rsid w:val="1AC85CBA"/>
    <w:rsid w:val="1ACF868D"/>
    <w:rsid w:val="1AD1C362"/>
    <w:rsid w:val="1AD609AA"/>
    <w:rsid w:val="1ADD283C"/>
    <w:rsid w:val="1ADE2BF0"/>
    <w:rsid w:val="1AE06DCF"/>
    <w:rsid w:val="1AF5EB17"/>
    <w:rsid w:val="1B02A4CD"/>
    <w:rsid w:val="1B05FBB6"/>
    <w:rsid w:val="1B11270F"/>
    <w:rsid w:val="1B132F17"/>
    <w:rsid w:val="1B2BB3B0"/>
    <w:rsid w:val="1B3AC538"/>
    <w:rsid w:val="1B3AF39F"/>
    <w:rsid w:val="1B4AA034"/>
    <w:rsid w:val="1B4C67A1"/>
    <w:rsid w:val="1B4C950D"/>
    <w:rsid w:val="1B4E90F8"/>
    <w:rsid w:val="1B5E3778"/>
    <w:rsid w:val="1B661BE8"/>
    <w:rsid w:val="1B79623F"/>
    <w:rsid w:val="1B87B696"/>
    <w:rsid w:val="1B9D713D"/>
    <w:rsid w:val="1BA69DA0"/>
    <w:rsid w:val="1BAD67FC"/>
    <w:rsid w:val="1BAFA650"/>
    <w:rsid w:val="1BB37264"/>
    <w:rsid w:val="1BB95FD5"/>
    <w:rsid w:val="1BC2672A"/>
    <w:rsid w:val="1BD1CC5B"/>
    <w:rsid w:val="1C024799"/>
    <w:rsid w:val="1C11D470"/>
    <w:rsid w:val="1C13AA84"/>
    <w:rsid w:val="1C186F80"/>
    <w:rsid w:val="1C1A561A"/>
    <w:rsid w:val="1C1B9D7F"/>
    <w:rsid w:val="1C272003"/>
    <w:rsid w:val="1C28C5E1"/>
    <w:rsid w:val="1C2910D6"/>
    <w:rsid w:val="1C2D1BB1"/>
    <w:rsid w:val="1C3B1DAD"/>
    <w:rsid w:val="1C3BB7D7"/>
    <w:rsid w:val="1C3D92A6"/>
    <w:rsid w:val="1C3E8163"/>
    <w:rsid w:val="1C3FD400"/>
    <w:rsid w:val="1C4C19A7"/>
    <w:rsid w:val="1C615072"/>
    <w:rsid w:val="1C67C4C3"/>
    <w:rsid w:val="1C69B1CF"/>
    <w:rsid w:val="1C7581A9"/>
    <w:rsid w:val="1C8558C7"/>
    <w:rsid w:val="1C8FAC84"/>
    <w:rsid w:val="1C93399F"/>
    <w:rsid w:val="1C940E7D"/>
    <w:rsid w:val="1C97B2C1"/>
    <w:rsid w:val="1C9BD658"/>
    <w:rsid w:val="1CA03C92"/>
    <w:rsid w:val="1CA38AF2"/>
    <w:rsid w:val="1CA3F290"/>
    <w:rsid w:val="1CAC3E11"/>
    <w:rsid w:val="1CB469E3"/>
    <w:rsid w:val="1CC1F7C0"/>
    <w:rsid w:val="1CC250B0"/>
    <w:rsid w:val="1CCF3CFF"/>
    <w:rsid w:val="1CD2464B"/>
    <w:rsid w:val="1CD2A41C"/>
    <w:rsid w:val="1CD410A1"/>
    <w:rsid w:val="1CDD5D01"/>
    <w:rsid w:val="1CF99C03"/>
    <w:rsid w:val="1CFDD39D"/>
    <w:rsid w:val="1CFF3402"/>
    <w:rsid w:val="1D098BE6"/>
    <w:rsid w:val="1D0F52AF"/>
    <w:rsid w:val="1D2C7662"/>
    <w:rsid w:val="1D338D0E"/>
    <w:rsid w:val="1D3B876E"/>
    <w:rsid w:val="1D4138B3"/>
    <w:rsid w:val="1D471D4E"/>
    <w:rsid w:val="1D491F52"/>
    <w:rsid w:val="1D4A9C39"/>
    <w:rsid w:val="1D50B762"/>
    <w:rsid w:val="1D517138"/>
    <w:rsid w:val="1D5C27A2"/>
    <w:rsid w:val="1D62796D"/>
    <w:rsid w:val="1D62D22B"/>
    <w:rsid w:val="1D66AA9B"/>
    <w:rsid w:val="1D8150AC"/>
    <w:rsid w:val="1D87CFF1"/>
    <w:rsid w:val="1D8BB58F"/>
    <w:rsid w:val="1D8C5795"/>
    <w:rsid w:val="1D9B1BC1"/>
    <w:rsid w:val="1D9FC811"/>
    <w:rsid w:val="1DA0F42A"/>
    <w:rsid w:val="1DB20C5D"/>
    <w:rsid w:val="1DC3DC7A"/>
    <w:rsid w:val="1DC4BB76"/>
    <w:rsid w:val="1DC7C60B"/>
    <w:rsid w:val="1DC86DB3"/>
    <w:rsid w:val="1DD2A59B"/>
    <w:rsid w:val="1DD9B376"/>
    <w:rsid w:val="1DEDB098"/>
    <w:rsid w:val="1DF5BC89"/>
    <w:rsid w:val="1DFD07DB"/>
    <w:rsid w:val="1E0A049D"/>
    <w:rsid w:val="1E0D309E"/>
    <w:rsid w:val="1E120705"/>
    <w:rsid w:val="1E137885"/>
    <w:rsid w:val="1E2869BB"/>
    <w:rsid w:val="1E2A62CA"/>
    <w:rsid w:val="1E3DF957"/>
    <w:rsid w:val="1E4762B5"/>
    <w:rsid w:val="1E47EE99"/>
    <w:rsid w:val="1E4EEF24"/>
    <w:rsid w:val="1E62B4DB"/>
    <w:rsid w:val="1E761CE4"/>
    <w:rsid w:val="1E7AC986"/>
    <w:rsid w:val="1E8B9C84"/>
    <w:rsid w:val="1E8CC079"/>
    <w:rsid w:val="1E91F534"/>
    <w:rsid w:val="1E93A520"/>
    <w:rsid w:val="1E95F805"/>
    <w:rsid w:val="1E99FEA1"/>
    <w:rsid w:val="1EA644FD"/>
    <w:rsid w:val="1EADAF3B"/>
    <w:rsid w:val="1EBCA65B"/>
    <w:rsid w:val="1EC3E17B"/>
    <w:rsid w:val="1ECC863A"/>
    <w:rsid w:val="1ED0C0E9"/>
    <w:rsid w:val="1EDE47CB"/>
    <w:rsid w:val="1EF77BF4"/>
    <w:rsid w:val="1EFB83B1"/>
    <w:rsid w:val="1F082EED"/>
    <w:rsid w:val="1F1339C3"/>
    <w:rsid w:val="1F1A5933"/>
    <w:rsid w:val="1F2031A6"/>
    <w:rsid w:val="1F22EBEC"/>
    <w:rsid w:val="1F2E4EAF"/>
    <w:rsid w:val="1F31585A"/>
    <w:rsid w:val="1F4312DE"/>
    <w:rsid w:val="1F434A4F"/>
    <w:rsid w:val="1F48BD63"/>
    <w:rsid w:val="1F6C2F79"/>
    <w:rsid w:val="1F75D702"/>
    <w:rsid w:val="1F76E7D9"/>
    <w:rsid w:val="1F77BEAD"/>
    <w:rsid w:val="1F7BA7C4"/>
    <w:rsid w:val="1F7EF5AE"/>
    <w:rsid w:val="1F8464BF"/>
    <w:rsid w:val="1F874420"/>
    <w:rsid w:val="1F9575C3"/>
    <w:rsid w:val="1F9BFA5E"/>
    <w:rsid w:val="1F9EC51A"/>
    <w:rsid w:val="1FA9E8F4"/>
    <w:rsid w:val="1FB5F724"/>
    <w:rsid w:val="1FB998B6"/>
    <w:rsid w:val="1FBA71BF"/>
    <w:rsid w:val="1FBD3305"/>
    <w:rsid w:val="1FCDB18A"/>
    <w:rsid w:val="1FCEE5F0"/>
    <w:rsid w:val="1FD0D58E"/>
    <w:rsid w:val="1FD6AC33"/>
    <w:rsid w:val="1FD830DE"/>
    <w:rsid w:val="1FD9985E"/>
    <w:rsid w:val="1FDD1455"/>
    <w:rsid w:val="1FE78ADF"/>
    <w:rsid w:val="1FEFD361"/>
    <w:rsid w:val="1FFEF810"/>
    <w:rsid w:val="20016A49"/>
    <w:rsid w:val="2005520C"/>
    <w:rsid w:val="200ADB4E"/>
    <w:rsid w:val="2012CA73"/>
    <w:rsid w:val="201749BE"/>
    <w:rsid w:val="2019E17A"/>
    <w:rsid w:val="201D9962"/>
    <w:rsid w:val="201DECBD"/>
    <w:rsid w:val="201E7006"/>
    <w:rsid w:val="2025D1B0"/>
    <w:rsid w:val="2029A136"/>
    <w:rsid w:val="202B588E"/>
    <w:rsid w:val="202C8281"/>
    <w:rsid w:val="20439AD8"/>
    <w:rsid w:val="204656F8"/>
    <w:rsid w:val="2047FD27"/>
    <w:rsid w:val="204FC516"/>
    <w:rsid w:val="205D249D"/>
    <w:rsid w:val="2064D0CB"/>
    <w:rsid w:val="206E9D54"/>
    <w:rsid w:val="20768A13"/>
    <w:rsid w:val="207D326D"/>
    <w:rsid w:val="2091C295"/>
    <w:rsid w:val="2096F464"/>
    <w:rsid w:val="20A35CBB"/>
    <w:rsid w:val="20ABBC31"/>
    <w:rsid w:val="20AD8D10"/>
    <w:rsid w:val="20B75322"/>
    <w:rsid w:val="20DDCC46"/>
    <w:rsid w:val="20E3515B"/>
    <w:rsid w:val="20EE9F69"/>
    <w:rsid w:val="20F05B4A"/>
    <w:rsid w:val="2100E5C9"/>
    <w:rsid w:val="21016EC5"/>
    <w:rsid w:val="210714A6"/>
    <w:rsid w:val="210FE681"/>
    <w:rsid w:val="21173A54"/>
    <w:rsid w:val="211FA48D"/>
    <w:rsid w:val="21232C50"/>
    <w:rsid w:val="21256CA5"/>
    <w:rsid w:val="212A5933"/>
    <w:rsid w:val="212C16DA"/>
    <w:rsid w:val="212CE466"/>
    <w:rsid w:val="212E0D60"/>
    <w:rsid w:val="212E6666"/>
    <w:rsid w:val="2136C104"/>
    <w:rsid w:val="2139EB3D"/>
    <w:rsid w:val="2139EC4C"/>
    <w:rsid w:val="213AC0FE"/>
    <w:rsid w:val="213B9E3C"/>
    <w:rsid w:val="213D0F72"/>
    <w:rsid w:val="213F3399"/>
    <w:rsid w:val="21455F5E"/>
    <w:rsid w:val="21463296"/>
    <w:rsid w:val="2149A00D"/>
    <w:rsid w:val="21517B1B"/>
    <w:rsid w:val="21538B80"/>
    <w:rsid w:val="216C2ED3"/>
    <w:rsid w:val="216C9C30"/>
    <w:rsid w:val="216CDA1E"/>
    <w:rsid w:val="21749575"/>
    <w:rsid w:val="2176AAAC"/>
    <w:rsid w:val="21960B67"/>
    <w:rsid w:val="21A74CB6"/>
    <w:rsid w:val="21AA8C4D"/>
    <w:rsid w:val="21BCB22D"/>
    <w:rsid w:val="21BECEC6"/>
    <w:rsid w:val="21C1BB52"/>
    <w:rsid w:val="21C50F73"/>
    <w:rsid w:val="21CFE6A1"/>
    <w:rsid w:val="21DFEFF9"/>
    <w:rsid w:val="21E9935E"/>
    <w:rsid w:val="21FA8F9F"/>
    <w:rsid w:val="21FD5C68"/>
    <w:rsid w:val="2206568E"/>
    <w:rsid w:val="220BAB5F"/>
    <w:rsid w:val="220FD445"/>
    <w:rsid w:val="223A5BAA"/>
    <w:rsid w:val="223CB2D1"/>
    <w:rsid w:val="223E9B91"/>
    <w:rsid w:val="2256F57F"/>
    <w:rsid w:val="22597632"/>
    <w:rsid w:val="225ABCBB"/>
    <w:rsid w:val="226C20C1"/>
    <w:rsid w:val="2271C25C"/>
    <w:rsid w:val="227639D2"/>
    <w:rsid w:val="2299BDFC"/>
    <w:rsid w:val="229D747A"/>
    <w:rsid w:val="22A091E9"/>
    <w:rsid w:val="22A1777C"/>
    <w:rsid w:val="22B8E2DC"/>
    <w:rsid w:val="22BFCE21"/>
    <w:rsid w:val="22C2E914"/>
    <w:rsid w:val="22CB22DC"/>
    <w:rsid w:val="22CDC9A6"/>
    <w:rsid w:val="22D6413D"/>
    <w:rsid w:val="22DE301A"/>
    <w:rsid w:val="22E9D381"/>
    <w:rsid w:val="22EB5527"/>
    <w:rsid w:val="22F35828"/>
    <w:rsid w:val="22FC84BA"/>
    <w:rsid w:val="23004A23"/>
    <w:rsid w:val="23008A3D"/>
    <w:rsid w:val="23085602"/>
    <w:rsid w:val="230AAEE8"/>
    <w:rsid w:val="230E4636"/>
    <w:rsid w:val="2310EEAD"/>
    <w:rsid w:val="23138A41"/>
    <w:rsid w:val="2313AD8D"/>
    <w:rsid w:val="2321127E"/>
    <w:rsid w:val="232424D2"/>
    <w:rsid w:val="2328A97F"/>
    <w:rsid w:val="233135D3"/>
    <w:rsid w:val="2343BE9B"/>
    <w:rsid w:val="2358D153"/>
    <w:rsid w:val="23606594"/>
    <w:rsid w:val="2365544D"/>
    <w:rsid w:val="2373A807"/>
    <w:rsid w:val="23903D27"/>
    <w:rsid w:val="23AC31DB"/>
    <w:rsid w:val="23B382AE"/>
    <w:rsid w:val="23B994E3"/>
    <w:rsid w:val="23BB3253"/>
    <w:rsid w:val="23BF8C31"/>
    <w:rsid w:val="23C30EB1"/>
    <w:rsid w:val="23C5735E"/>
    <w:rsid w:val="23D94B41"/>
    <w:rsid w:val="23D9630B"/>
    <w:rsid w:val="23E066A1"/>
    <w:rsid w:val="23E3C192"/>
    <w:rsid w:val="23E4F58F"/>
    <w:rsid w:val="23EDB53C"/>
    <w:rsid w:val="23F10D21"/>
    <w:rsid w:val="23F1103F"/>
    <w:rsid w:val="24063336"/>
    <w:rsid w:val="240A57D5"/>
    <w:rsid w:val="2413C0BE"/>
    <w:rsid w:val="241E7F35"/>
    <w:rsid w:val="242696B5"/>
    <w:rsid w:val="2428A9D0"/>
    <w:rsid w:val="243A6C4D"/>
    <w:rsid w:val="244041EA"/>
    <w:rsid w:val="244621D9"/>
    <w:rsid w:val="2446AB91"/>
    <w:rsid w:val="2448EF5E"/>
    <w:rsid w:val="244B2CEB"/>
    <w:rsid w:val="24544E44"/>
    <w:rsid w:val="24572A89"/>
    <w:rsid w:val="245AEA4C"/>
    <w:rsid w:val="245BA5BB"/>
    <w:rsid w:val="2467F5A5"/>
    <w:rsid w:val="247D2EEE"/>
    <w:rsid w:val="24876200"/>
    <w:rsid w:val="248C9412"/>
    <w:rsid w:val="2492B64C"/>
    <w:rsid w:val="2492C161"/>
    <w:rsid w:val="2496096B"/>
    <w:rsid w:val="24B2631B"/>
    <w:rsid w:val="24B55F4D"/>
    <w:rsid w:val="24D927EC"/>
    <w:rsid w:val="24F162D9"/>
    <w:rsid w:val="24F325C4"/>
    <w:rsid w:val="24FEBC75"/>
    <w:rsid w:val="25023A2E"/>
    <w:rsid w:val="25060A25"/>
    <w:rsid w:val="250EAB07"/>
    <w:rsid w:val="25120806"/>
    <w:rsid w:val="251A372F"/>
    <w:rsid w:val="2520A11C"/>
    <w:rsid w:val="25364E99"/>
    <w:rsid w:val="25376EC2"/>
    <w:rsid w:val="2542083C"/>
    <w:rsid w:val="25520B6B"/>
    <w:rsid w:val="2554DC52"/>
    <w:rsid w:val="25552489"/>
    <w:rsid w:val="2559EAEC"/>
    <w:rsid w:val="256695BA"/>
    <w:rsid w:val="25676413"/>
    <w:rsid w:val="256B7818"/>
    <w:rsid w:val="2573F17A"/>
    <w:rsid w:val="257BDCBC"/>
    <w:rsid w:val="257EB8DD"/>
    <w:rsid w:val="258080B7"/>
    <w:rsid w:val="258252A5"/>
    <w:rsid w:val="2584780A"/>
    <w:rsid w:val="25876FEA"/>
    <w:rsid w:val="2587C1D6"/>
    <w:rsid w:val="2590E3B1"/>
    <w:rsid w:val="25A17781"/>
    <w:rsid w:val="25AB8810"/>
    <w:rsid w:val="25B8319B"/>
    <w:rsid w:val="25C0848F"/>
    <w:rsid w:val="25C5624D"/>
    <w:rsid w:val="25DF6E65"/>
    <w:rsid w:val="25E165E3"/>
    <w:rsid w:val="25E1BDE7"/>
    <w:rsid w:val="25E44CB7"/>
    <w:rsid w:val="25E669ED"/>
    <w:rsid w:val="25EFAA41"/>
    <w:rsid w:val="25FC7825"/>
    <w:rsid w:val="25FE9F34"/>
    <w:rsid w:val="26081B79"/>
    <w:rsid w:val="2617C1A5"/>
    <w:rsid w:val="261D952B"/>
    <w:rsid w:val="26329033"/>
    <w:rsid w:val="26485698"/>
    <w:rsid w:val="264E2066"/>
    <w:rsid w:val="2651859A"/>
    <w:rsid w:val="2657EF57"/>
    <w:rsid w:val="265BA91B"/>
    <w:rsid w:val="265BC4FE"/>
    <w:rsid w:val="266B67C1"/>
    <w:rsid w:val="2676E0CF"/>
    <w:rsid w:val="268A6F0C"/>
    <w:rsid w:val="26945A9F"/>
    <w:rsid w:val="26A3F021"/>
    <w:rsid w:val="26A9C701"/>
    <w:rsid w:val="26AEB0E7"/>
    <w:rsid w:val="26B0E0C2"/>
    <w:rsid w:val="26BBBE3E"/>
    <w:rsid w:val="26C03194"/>
    <w:rsid w:val="26C08402"/>
    <w:rsid w:val="26C12CB1"/>
    <w:rsid w:val="26DF7769"/>
    <w:rsid w:val="26E15BB9"/>
    <w:rsid w:val="26E2A649"/>
    <w:rsid w:val="26E4E9D0"/>
    <w:rsid w:val="26E5584A"/>
    <w:rsid w:val="26EE9BED"/>
    <w:rsid w:val="26F7E00A"/>
    <w:rsid w:val="26FBE6C1"/>
    <w:rsid w:val="2705D27F"/>
    <w:rsid w:val="27081E1A"/>
    <w:rsid w:val="2710C29E"/>
    <w:rsid w:val="27248022"/>
    <w:rsid w:val="2724CB70"/>
    <w:rsid w:val="272589CD"/>
    <w:rsid w:val="2729416E"/>
    <w:rsid w:val="272D9013"/>
    <w:rsid w:val="27308F3F"/>
    <w:rsid w:val="2730A12D"/>
    <w:rsid w:val="27495636"/>
    <w:rsid w:val="274A9304"/>
    <w:rsid w:val="274E93D1"/>
    <w:rsid w:val="2769FD92"/>
    <w:rsid w:val="276B61E6"/>
    <w:rsid w:val="277194AE"/>
    <w:rsid w:val="2771A5A6"/>
    <w:rsid w:val="277CA7C9"/>
    <w:rsid w:val="27819614"/>
    <w:rsid w:val="2785D50C"/>
    <w:rsid w:val="27A3658D"/>
    <w:rsid w:val="27A56DE8"/>
    <w:rsid w:val="27C225A4"/>
    <w:rsid w:val="27C30185"/>
    <w:rsid w:val="27C60FF2"/>
    <w:rsid w:val="27E52FFD"/>
    <w:rsid w:val="27E5ACF6"/>
    <w:rsid w:val="27EB4815"/>
    <w:rsid w:val="27EC88BF"/>
    <w:rsid w:val="27ECAC35"/>
    <w:rsid w:val="28003DB4"/>
    <w:rsid w:val="28057BD0"/>
    <w:rsid w:val="28124BE6"/>
    <w:rsid w:val="28124D62"/>
    <w:rsid w:val="28138500"/>
    <w:rsid w:val="281DCF4C"/>
    <w:rsid w:val="28329F04"/>
    <w:rsid w:val="28380263"/>
    <w:rsid w:val="283C9089"/>
    <w:rsid w:val="283F4242"/>
    <w:rsid w:val="28408152"/>
    <w:rsid w:val="28408362"/>
    <w:rsid w:val="2844C102"/>
    <w:rsid w:val="2844ED38"/>
    <w:rsid w:val="2848813D"/>
    <w:rsid w:val="2858CB42"/>
    <w:rsid w:val="2859E6D5"/>
    <w:rsid w:val="285AE374"/>
    <w:rsid w:val="285EA31E"/>
    <w:rsid w:val="285F91E8"/>
    <w:rsid w:val="286622B5"/>
    <w:rsid w:val="286B00D3"/>
    <w:rsid w:val="287888AD"/>
    <w:rsid w:val="287A0078"/>
    <w:rsid w:val="2883450E"/>
    <w:rsid w:val="2894589B"/>
    <w:rsid w:val="28959A08"/>
    <w:rsid w:val="28998487"/>
    <w:rsid w:val="289DBA56"/>
    <w:rsid w:val="28A09264"/>
    <w:rsid w:val="28A335C4"/>
    <w:rsid w:val="28A33A22"/>
    <w:rsid w:val="28A6BE47"/>
    <w:rsid w:val="28A9B743"/>
    <w:rsid w:val="28B235BA"/>
    <w:rsid w:val="28B3E33C"/>
    <w:rsid w:val="28B6C887"/>
    <w:rsid w:val="28BD39B3"/>
    <w:rsid w:val="28C007B5"/>
    <w:rsid w:val="28D09E84"/>
    <w:rsid w:val="28D544E3"/>
    <w:rsid w:val="28D7D61C"/>
    <w:rsid w:val="28D87350"/>
    <w:rsid w:val="28DA7A15"/>
    <w:rsid w:val="28E70286"/>
    <w:rsid w:val="28ED36BA"/>
    <w:rsid w:val="28F210FF"/>
    <w:rsid w:val="2905DB59"/>
    <w:rsid w:val="290CD79F"/>
    <w:rsid w:val="290E5FEC"/>
    <w:rsid w:val="2914AF24"/>
    <w:rsid w:val="2917EF67"/>
    <w:rsid w:val="2919C86D"/>
    <w:rsid w:val="291EE59D"/>
    <w:rsid w:val="29243A09"/>
    <w:rsid w:val="29290E45"/>
    <w:rsid w:val="292BC32F"/>
    <w:rsid w:val="292DDA18"/>
    <w:rsid w:val="2933F0CA"/>
    <w:rsid w:val="293A54D0"/>
    <w:rsid w:val="2940331C"/>
    <w:rsid w:val="29448373"/>
    <w:rsid w:val="29454282"/>
    <w:rsid w:val="294D1C0D"/>
    <w:rsid w:val="2953F3DE"/>
    <w:rsid w:val="2956594F"/>
    <w:rsid w:val="29635340"/>
    <w:rsid w:val="29719390"/>
    <w:rsid w:val="29769951"/>
    <w:rsid w:val="2978C57E"/>
    <w:rsid w:val="297E011A"/>
    <w:rsid w:val="29933E4D"/>
    <w:rsid w:val="29963404"/>
    <w:rsid w:val="2996429E"/>
    <w:rsid w:val="29A402CA"/>
    <w:rsid w:val="29A41171"/>
    <w:rsid w:val="29A4BE98"/>
    <w:rsid w:val="29B07FFD"/>
    <w:rsid w:val="29B42B4E"/>
    <w:rsid w:val="29B58061"/>
    <w:rsid w:val="29C1E397"/>
    <w:rsid w:val="29C71B17"/>
    <w:rsid w:val="29CA3DDD"/>
    <w:rsid w:val="29CB0225"/>
    <w:rsid w:val="29D864B5"/>
    <w:rsid w:val="29DBFF03"/>
    <w:rsid w:val="29DD1571"/>
    <w:rsid w:val="29EE55AA"/>
    <w:rsid w:val="29F8B05E"/>
    <w:rsid w:val="29FCFD37"/>
    <w:rsid w:val="29FD5F8E"/>
    <w:rsid w:val="29FF535D"/>
    <w:rsid w:val="2A093A4C"/>
    <w:rsid w:val="2A0AD09E"/>
    <w:rsid w:val="2A0F6292"/>
    <w:rsid w:val="2A233A39"/>
    <w:rsid w:val="2A24CFC6"/>
    <w:rsid w:val="2A32DF87"/>
    <w:rsid w:val="2A3AFFF3"/>
    <w:rsid w:val="2A3BF4B1"/>
    <w:rsid w:val="2A3F47F4"/>
    <w:rsid w:val="2A40F395"/>
    <w:rsid w:val="2A4684F6"/>
    <w:rsid w:val="2A4B2B45"/>
    <w:rsid w:val="2A4BDAD0"/>
    <w:rsid w:val="2A4C0865"/>
    <w:rsid w:val="2A5700B2"/>
    <w:rsid w:val="2A5A866E"/>
    <w:rsid w:val="2A65CD0D"/>
    <w:rsid w:val="2A72770D"/>
    <w:rsid w:val="2A72E1D1"/>
    <w:rsid w:val="2A763C97"/>
    <w:rsid w:val="2A781E01"/>
    <w:rsid w:val="2A8838B7"/>
    <w:rsid w:val="2A900A8B"/>
    <w:rsid w:val="2A97F2A9"/>
    <w:rsid w:val="2A988617"/>
    <w:rsid w:val="2A99424D"/>
    <w:rsid w:val="2AA117EC"/>
    <w:rsid w:val="2AA5B015"/>
    <w:rsid w:val="2AB49F74"/>
    <w:rsid w:val="2AB7941D"/>
    <w:rsid w:val="2AC2E433"/>
    <w:rsid w:val="2AC85164"/>
    <w:rsid w:val="2ACB0EBF"/>
    <w:rsid w:val="2AD277F8"/>
    <w:rsid w:val="2AD4DE5A"/>
    <w:rsid w:val="2AD8B8E6"/>
    <w:rsid w:val="2ADB7DC6"/>
    <w:rsid w:val="2ADBE906"/>
    <w:rsid w:val="2AED3F73"/>
    <w:rsid w:val="2AEF1994"/>
    <w:rsid w:val="2AF0B8B7"/>
    <w:rsid w:val="2AF77373"/>
    <w:rsid w:val="2AF79846"/>
    <w:rsid w:val="2AFDD62D"/>
    <w:rsid w:val="2B0DC4DA"/>
    <w:rsid w:val="2B1381A1"/>
    <w:rsid w:val="2B22A9BE"/>
    <w:rsid w:val="2B22F8CD"/>
    <w:rsid w:val="2B2A96BB"/>
    <w:rsid w:val="2B2BD52C"/>
    <w:rsid w:val="2B336E5C"/>
    <w:rsid w:val="2B395B26"/>
    <w:rsid w:val="2B3C8EB7"/>
    <w:rsid w:val="2B5EBBC9"/>
    <w:rsid w:val="2B726F67"/>
    <w:rsid w:val="2B7CB792"/>
    <w:rsid w:val="2B7EE462"/>
    <w:rsid w:val="2B879EDF"/>
    <w:rsid w:val="2B879FC2"/>
    <w:rsid w:val="2B949776"/>
    <w:rsid w:val="2BA224D0"/>
    <w:rsid w:val="2BA24741"/>
    <w:rsid w:val="2BA70726"/>
    <w:rsid w:val="2BB5BCB5"/>
    <w:rsid w:val="2BBC6EA8"/>
    <w:rsid w:val="2BBE71F6"/>
    <w:rsid w:val="2BBF9487"/>
    <w:rsid w:val="2BD20434"/>
    <w:rsid w:val="2BDB3540"/>
    <w:rsid w:val="2BDF08CB"/>
    <w:rsid w:val="2BE43268"/>
    <w:rsid w:val="2BE65F6E"/>
    <w:rsid w:val="2BF93D9B"/>
    <w:rsid w:val="2C0213C9"/>
    <w:rsid w:val="2C07C2CA"/>
    <w:rsid w:val="2C08122B"/>
    <w:rsid w:val="2C0D79DF"/>
    <w:rsid w:val="2C0E1034"/>
    <w:rsid w:val="2C28F0EE"/>
    <w:rsid w:val="2C2AA100"/>
    <w:rsid w:val="2C3127FA"/>
    <w:rsid w:val="2C320E02"/>
    <w:rsid w:val="2C429B28"/>
    <w:rsid w:val="2C4484EF"/>
    <w:rsid w:val="2C47AAA7"/>
    <w:rsid w:val="2C47CF9D"/>
    <w:rsid w:val="2C4A6704"/>
    <w:rsid w:val="2C4C454C"/>
    <w:rsid w:val="2C4CAF05"/>
    <w:rsid w:val="2C5E701D"/>
    <w:rsid w:val="2C5ED12F"/>
    <w:rsid w:val="2C612779"/>
    <w:rsid w:val="2C6689FD"/>
    <w:rsid w:val="2C6C7682"/>
    <w:rsid w:val="2C6F9BC1"/>
    <w:rsid w:val="2C7B40A5"/>
    <w:rsid w:val="2C7D8CC5"/>
    <w:rsid w:val="2C844C16"/>
    <w:rsid w:val="2C8E964D"/>
    <w:rsid w:val="2C94602A"/>
    <w:rsid w:val="2C95471D"/>
    <w:rsid w:val="2C9D7FF4"/>
    <w:rsid w:val="2CA1A1C9"/>
    <w:rsid w:val="2CA28A62"/>
    <w:rsid w:val="2CC2D96E"/>
    <w:rsid w:val="2CC4B5FD"/>
    <w:rsid w:val="2CCAE250"/>
    <w:rsid w:val="2CD4B4D4"/>
    <w:rsid w:val="2CE19BC6"/>
    <w:rsid w:val="2CE388E6"/>
    <w:rsid w:val="2CF0D839"/>
    <w:rsid w:val="2CF1C1AE"/>
    <w:rsid w:val="2CF5E44E"/>
    <w:rsid w:val="2D04347E"/>
    <w:rsid w:val="2D04C6A2"/>
    <w:rsid w:val="2D0E40BE"/>
    <w:rsid w:val="2D2CFBC4"/>
    <w:rsid w:val="2D40F4D7"/>
    <w:rsid w:val="2D458CBC"/>
    <w:rsid w:val="2D4A1559"/>
    <w:rsid w:val="2D5866DD"/>
    <w:rsid w:val="2D631293"/>
    <w:rsid w:val="2D6D11E7"/>
    <w:rsid w:val="2DBF0350"/>
    <w:rsid w:val="2DC347CD"/>
    <w:rsid w:val="2DC882DF"/>
    <w:rsid w:val="2DCD5CE7"/>
    <w:rsid w:val="2DD4B290"/>
    <w:rsid w:val="2DDF3028"/>
    <w:rsid w:val="2DE0F21B"/>
    <w:rsid w:val="2DE678C8"/>
    <w:rsid w:val="2DE8CBD2"/>
    <w:rsid w:val="2DEDE89D"/>
    <w:rsid w:val="2DEEEDFA"/>
    <w:rsid w:val="2DF6E477"/>
    <w:rsid w:val="2DF706B3"/>
    <w:rsid w:val="2E03DE33"/>
    <w:rsid w:val="2E1ACEE8"/>
    <w:rsid w:val="2E1D26E1"/>
    <w:rsid w:val="2E286264"/>
    <w:rsid w:val="2E308B42"/>
    <w:rsid w:val="2E40AE72"/>
    <w:rsid w:val="2E474E58"/>
    <w:rsid w:val="2E5019AF"/>
    <w:rsid w:val="2E55963F"/>
    <w:rsid w:val="2E5BF5DC"/>
    <w:rsid w:val="2E612D08"/>
    <w:rsid w:val="2E691E1C"/>
    <w:rsid w:val="2E6BBFEE"/>
    <w:rsid w:val="2E72C365"/>
    <w:rsid w:val="2E7AA035"/>
    <w:rsid w:val="2E8179DE"/>
    <w:rsid w:val="2E89C17A"/>
    <w:rsid w:val="2E974F8F"/>
    <w:rsid w:val="2E9DAD8C"/>
    <w:rsid w:val="2E9FF82B"/>
    <w:rsid w:val="2EA03BA5"/>
    <w:rsid w:val="2EA10EA9"/>
    <w:rsid w:val="2EB0E29D"/>
    <w:rsid w:val="2EBF755A"/>
    <w:rsid w:val="2ED2BFB5"/>
    <w:rsid w:val="2ED52657"/>
    <w:rsid w:val="2ED5DA51"/>
    <w:rsid w:val="2ED7842E"/>
    <w:rsid w:val="2ED84906"/>
    <w:rsid w:val="2EDDC32A"/>
    <w:rsid w:val="2EE94AB7"/>
    <w:rsid w:val="2EEDEDD3"/>
    <w:rsid w:val="2EF30401"/>
    <w:rsid w:val="2EF4F487"/>
    <w:rsid w:val="2F099DFC"/>
    <w:rsid w:val="2F0B10F3"/>
    <w:rsid w:val="2F0F460B"/>
    <w:rsid w:val="2F10E4C3"/>
    <w:rsid w:val="2F12311F"/>
    <w:rsid w:val="2F153511"/>
    <w:rsid w:val="2F262BEB"/>
    <w:rsid w:val="2F35D0F9"/>
    <w:rsid w:val="2F37BC2F"/>
    <w:rsid w:val="2F394AF9"/>
    <w:rsid w:val="2F3AAAAF"/>
    <w:rsid w:val="2F4C61EE"/>
    <w:rsid w:val="2F50F3D6"/>
    <w:rsid w:val="2F562F20"/>
    <w:rsid w:val="2F565132"/>
    <w:rsid w:val="2F5F56A4"/>
    <w:rsid w:val="2F6928E4"/>
    <w:rsid w:val="2F6A13D5"/>
    <w:rsid w:val="2F6E75D8"/>
    <w:rsid w:val="2F7A7D1F"/>
    <w:rsid w:val="2F8536D5"/>
    <w:rsid w:val="2F91A78B"/>
    <w:rsid w:val="2F9D2978"/>
    <w:rsid w:val="2FA4A437"/>
    <w:rsid w:val="2FB6AF8F"/>
    <w:rsid w:val="2FBE53C8"/>
    <w:rsid w:val="2FC1F746"/>
    <w:rsid w:val="2FC2204E"/>
    <w:rsid w:val="2FC41053"/>
    <w:rsid w:val="2FD54CA3"/>
    <w:rsid w:val="2FE88F33"/>
    <w:rsid w:val="2FF8FA74"/>
    <w:rsid w:val="3003A987"/>
    <w:rsid w:val="3006A2D0"/>
    <w:rsid w:val="3007A8CD"/>
    <w:rsid w:val="30098EAA"/>
    <w:rsid w:val="30163C04"/>
    <w:rsid w:val="301AE369"/>
    <w:rsid w:val="301CDD07"/>
    <w:rsid w:val="3020B798"/>
    <w:rsid w:val="30234040"/>
    <w:rsid w:val="3027ED4F"/>
    <w:rsid w:val="302F58A1"/>
    <w:rsid w:val="30378CF9"/>
    <w:rsid w:val="30380AD0"/>
    <w:rsid w:val="303E2164"/>
    <w:rsid w:val="30453DBF"/>
    <w:rsid w:val="30455655"/>
    <w:rsid w:val="3045F73F"/>
    <w:rsid w:val="304C0C5A"/>
    <w:rsid w:val="304F7AF2"/>
    <w:rsid w:val="304FC6FE"/>
    <w:rsid w:val="3059C79E"/>
    <w:rsid w:val="30643E1B"/>
    <w:rsid w:val="3064B0CE"/>
    <w:rsid w:val="306E990F"/>
    <w:rsid w:val="306FB171"/>
    <w:rsid w:val="30714B6F"/>
    <w:rsid w:val="30888542"/>
    <w:rsid w:val="3089E217"/>
    <w:rsid w:val="308C4225"/>
    <w:rsid w:val="30940084"/>
    <w:rsid w:val="3094A939"/>
    <w:rsid w:val="3095CD75"/>
    <w:rsid w:val="30B22EA6"/>
    <w:rsid w:val="30B6C893"/>
    <w:rsid w:val="30B85C0A"/>
    <w:rsid w:val="30B934AF"/>
    <w:rsid w:val="30B98881"/>
    <w:rsid w:val="30C869A5"/>
    <w:rsid w:val="30CAE30C"/>
    <w:rsid w:val="30CFCFB0"/>
    <w:rsid w:val="30DBD3C8"/>
    <w:rsid w:val="30DC6156"/>
    <w:rsid w:val="30DC93D0"/>
    <w:rsid w:val="30EA3776"/>
    <w:rsid w:val="30EBC1BF"/>
    <w:rsid w:val="310376CC"/>
    <w:rsid w:val="3104B0AF"/>
    <w:rsid w:val="310DEFCA"/>
    <w:rsid w:val="31107A68"/>
    <w:rsid w:val="3115B93F"/>
    <w:rsid w:val="3118F2E1"/>
    <w:rsid w:val="311AF644"/>
    <w:rsid w:val="311DD69E"/>
    <w:rsid w:val="31203D87"/>
    <w:rsid w:val="3123BC0B"/>
    <w:rsid w:val="31348C42"/>
    <w:rsid w:val="3138FE81"/>
    <w:rsid w:val="31398688"/>
    <w:rsid w:val="3156372E"/>
    <w:rsid w:val="31581283"/>
    <w:rsid w:val="315AEF94"/>
    <w:rsid w:val="31624516"/>
    <w:rsid w:val="3169A7AD"/>
    <w:rsid w:val="316FC543"/>
    <w:rsid w:val="3172176B"/>
    <w:rsid w:val="3175AFD2"/>
    <w:rsid w:val="317610C2"/>
    <w:rsid w:val="31780D2F"/>
    <w:rsid w:val="317845CD"/>
    <w:rsid w:val="317B6FFF"/>
    <w:rsid w:val="317F0195"/>
    <w:rsid w:val="3180CB4F"/>
    <w:rsid w:val="318264DB"/>
    <w:rsid w:val="318547E3"/>
    <w:rsid w:val="31946FBA"/>
    <w:rsid w:val="3197ABF7"/>
    <w:rsid w:val="3197EA2B"/>
    <w:rsid w:val="319B7BDE"/>
    <w:rsid w:val="319FC09D"/>
    <w:rsid w:val="31A6DB8C"/>
    <w:rsid w:val="31AB8905"/>
    <w:rsid w:val="31B111EB"/>
    <w:rsid w:val="31BCEA33"/>
    <w:rsid w:val="31BEE09E"/>
    <w:rsid w:val="31CD3242"/>
    <w:rsid w:val="31D39B9F"/>
    <w:rsid w:val="31D7440D"/>
    <w:rsid w:val="31E92BD7"/>
    <w:rsid w:val="31EAB045"/>
    <w:rsid w:val="31EE099F"/>
    <w:rsid w:val="31F4D167"/>
    <w:rsid w:val="32062957"/>
    <w:rsid w:val="3210E527"/>
    <w:rsid w:val="32133E48"/>
    <w:rsid w:val="322BB0EB"/>
    <w:rsid w:val="322C2190"/>
    <w:rsid w:val="3237CE79"/>
    <w:rsid w:val="325802F7"/>
    <w:rsid w:val="325A015B"/>
    <w:rsid w:val="326C51DB"/>
    <w:rsid w:val="326CA269"/>
    <w:rsid w:val="327C7570"/>
    <w:rsid w:val="32814135"/>
    <w:rsid w:val="32895506"/>
    <w:rsid w:val="328C38F5"/>
    <w:rsid w:val="329566E8"/>
    <w:rsid w:val="329B0239"/>
    <w:rsid w:val="329FE497"/>
    <w:rsid w:val="32A98401"/>
    <w:rsid w:val="32AA32BB"/>
    <w:rsid w:val="32BA238F"/>
    <w:rsid w:val="32BA2F73"/>
    <w:rsid w:val="32CF711B"/>
    <w:rsid w:val="32D46132"/>
    <w:rsid w:val="32DAEF91"/>
    <w:rsid w:val="32DF37C4"/>
    <w:rsid w:val="32E1DE24"/>
    <w:rsid w:val="32E71AC9"/>
    <w:rsid w:val="32E7A790"/>
    <w:rsid w:val="32EC0509"/>
    <w:rsid w:val="32EC25A0"/>
    <w:rsid w:val="32F05033"/>
    <w:rsid w:val="32F5D89B"/>
    <w:rsid w:val="33056467"/>
    <w:rsid w:val="330F2E77"/>
    <w:rsid w:val="33110350"/>
    <w:rsid w:val="3318B97A"/>
    <w:rsid w:val="3329701C"/>
    <w:rsid w:val="3339516D"/>
    <w:rsid w:val="333F3A61"/>
    <w:rsid w:val="33427AE4"/>
    <w:rsid w:val="334F803A"/>
    <w:rsid w:val="337FEAC7"/>
    <w:rsid w:val="3382A4E5"/>
    <w:rsid w:val="3385C67D"/>
    <w:rsid w:val="33998EA6"/>
    <w:rsid w:val="33A111E3"/>
    <w:rsid w:val="33A36846"/>
    <w:rsid w:val="33AB4831"/>
    <w:rsid w:val="33BF478B"/>
    <w:rsid w:val="33C1CBD5"/>
    <w:rsid w:val="33C77032"/>
    <w:rsid w:val="33C7DAC4"/>
    <w:rsid w:val="33C8C060"/>
    <w:rsid w:val="33C94F7B"/>
    <w:rsid w:val="33CA3700"/>
    <w:rsid w:val="33D7873A"/>
    <w:rsid w:val="33D802F7"/>
    <w:rsid w:val="33E01366"/>
    <w:rsid w:val="33EED7FD"/>
    <w:rsid w:val="33F75668"/>
    <w:rsid w:val="3412F013"/>
    <w:rsid w:val="342944EC"/>
    <w:rsid w:val="342F5E4E"/>
    <w:rsid w:val="342F906F"/>
    <w:rsid w:val="3430CAE8"/>
    <w:rsid w:val="3433600A"/>
    <w:rsid w:val="34347F9B"/>
    <w:rsid w:val="3438345D"/>
    <w:rsid w:val="34389737"/>
    <w:rsid w:val="34395670"/>
    <w:rsid w:val="343D0168"/>
    <w:rsid w:val="343E797C"/>
    <w:rsid w:val="3443DA4C"/>
    <w:rsid w:val="34523CBF"/>
    <w:rsid w:val="34693685"/>
    <w:rsid w:val="347499D6"/>
    <w:rsid w:val="3482A0AE"/>
    <w:rsid w:val="3493A44C"/>
    <w:rsid w:val="3496A78B"/>
    <w:rsid w:val="349DE27A"/>
    <w:rsid w:val="34A6D81C"/>
    <w:rsid w:val="34AB10CA"/>
    <w:rsid w:val="34AB42EC"/>
    <w:rsid w:val="34ACB8C6"/>
    <w:rsid w:val="34BB0533"/>
    <w:rsid w:val="34BDB33D"/>
    <w:rsid w:val="34C6AC39"/>
    <w:rsid w:val="34C6ECA2"/>
    <w:rsid w:val="34C99971"/>
    <w:rsid w:val="34D0C4AD"/>
    <w:rsid w:val="34D240DC"/>
    <w:rsid w:val="34D61A5B"/>
    <w:rsid w:val="34D6E356"/>
    <w:rsid w:val="34DFCC90"/>
    <w:rsid w:val="34FB14D0"/>
    <w:rsid w:val="35000149"/>
    <w:rsid w:val="35045B4A"/>
    <w:rsid w:val="350BE243"/>
    <w:rsid w:val="3515F838"/>
    <w:rsid w:val="3521C2C4"/>
    <w:rsid w:val="3525C886"/>
    <w:rsid w:val="352A72CD"/>
    <w:rsid w:val="3535097A"/>
    <w:rsid w:val="353741B8"/>
    <w:rsid w:val="3548261F"/>
    <w:rsid w:val="354E7336"/>
    <w:rsid w:val="3555F10E"/>
    <w:rsid w:val="35651F3E"/>
    <w:rsid w:val="358713C9"/>
    <w:rsid w:val="359CFD6C"/>
    <w:rsid w:val="35A119E4"/>
    <w:rsid w:val="35AA50FB"/>
    <w:rsid w:val="35B0A4DB"/>
    <w:rsid w:val="35BB591B"/>
    <w:rsid w:val="35C069D6"/>
    <w:rsid w:val="35C96F34"/>
    <w:rsid w:val="35DA271A"/>
    <w:rsid w:val="35DE7640"/>
    <w:rsid w:val="35E77DC2"/>
    <w:rsid w:val="35EC0B4C"/>
    <w:rsid w:val="35F84567"/>
    <w:rsid w:val="36110597"/>
    <w:rsid w:val="36143EF5"/>
    <w:rsid w:val="3615FBF4"/>
    <w:rsid w:val="361E659C"/>
    <w:rsid w:val="361FA9F7"/>
    <w:rsid w:val="362692B0"/>
    <w:rsid w:val="3626D9D9"/>
    <w:rsid w:val="36317E4E"/>
    <w:rsid w:val="3631B9A5"/>
    <w:rsid w:val="3635C213"/>
    <w:rsid w:val="3636A96F"/>
    <w:rsid w:val="363792B8"/>
    <w:rsid w:val="3640CF01"/>
    <w:rsid w:val="365A52D8"/>
    <w:rsid w:val="365C7A6B"/>
    <w:rsid w:val="365E25F6"/>
    <w:rsid w:val="36608758"/>
    <w:rsid w:val="3668A2DA"/>
    <w:rsid w:val="366E21E1"/>
    <w:rsid w:val="367395DB"/>
    <w:rsid w:val="36763B29"/>
    <w:rsid w:val="36840FE4"/>
    <w:rsid w:val="368937C5"/>
    <w:rsid w:val="368A3116"/>
    <w:rsid w:val="36910BB5"/>
    <w:rsid w:val="36988D1C"/>
    <w:rsid w:val="36A10811"/>
    <w:rsid w:val="36A55E4C"/>
    <w:rsid w:val="36A82F2A"/>
    <w:rsid w:val="36AE3ADF"/>
    <w:rsid w:val="36AE9B07"/>
    <w:rsid w:val="36B47F28"/>
    <w:rsid w:val="36B74F4D"/>
    <w:rsid w:val="36BCD7EB"/>
    <w:rsid w:val="36C4FF96"/>
    <w:rsid w:val="36CC1833"/>
    <w:rsid w:val="36D16A8A"/>
    <w:rsid w:val="36D97C48"/>
    <w:rsid w:val="36DA759D"/>
    <w:rsid w:val="36DE5472"/>
    <w:rsid w:val="36EAC241"/>
    <w:rsid w:val="36EC2CA4"/>
    <w:rsid w:val="36EC471D"/>
    <w:rsid w:val="36F01736"/>
    <w:rsid w:val="36F3B0CE"/>
    <w:rsid w:val="36F5BA18"/>
    <w:rsid w:val="36F73940"/>
    <w:rsid w:val="36FCAEC8"/>
    <w:rsid w:val="3701246F"/>
    <w:rsid w:val="37039FB1"/>
    <w:rsid w:val="3714BEAF"/>
    <w:rsid w:val="371F2B51"/>
    <w:rsid w:val="37202A29"/>
    <w:rsid w:val="372FB543"/>
    <w:rsid w:val="37341638"/>
    <w:rsid w:val="373A5817"/>
    <w:rsid w:val="373C079B"/>
    <w:rsid w:val="373EF700"/>
    <w:rsid w:val="3740FC54"/>
    <w:rsid w:val="3745FBC9"/>
    <w:rsid w:val="37486FD6"/>
    <w:rsid w:val="374D73F2"/>
    <w:rsid w:val="375A7A7D"/>
    <w:rsid w:val="37639726"/>
    <w:rsid w:val="376BDA57"/>
    <w:rsid w:val="3778E089"/>
    <w:rsid w:val="377D09AC"/>
    <w:rsid w:val="377F2724"/>
    <w:rsid w:val="379BD507"/>
    <w:rsid w:val="37B3B463"/>
    <w:rsid w:val="37B5E261"/>
    <w:rsid w:val="37BC55A7"/>
    <w:rsid w:val="37C053CF"/>
    <w:rsid w:val="37C1B952"/>
    <w:rsid w:val="37C38552"/>
    <w:rsid w:val="37C4A1DF"/>
    <w:rsid w:val="37C7485A"/>
    <w:rsid w:val="37DA630D"/>
    <w:rsid w:val="37E2AA55"/>
    <w:rsid w:val="37F7FF57"/>
    <w:rsid w:val="3805EDBE"/>
    <w:rsid w:val="380C94B9"/>
    <w:rsid w:val="381031A9"/>
    <w:rsid w:val="38128054"/>
    <w:rsid w:val="38185AD8"/>
    <w:rsid w:val="3823C1C0"/>
    <w:rsid w:val="38286780"/>
    <w:rsid w:val="382A1C5A"/>
    <w:rsid w:val="382C8B9C"/>
    <w:rsid w:val="3837494D"/>
    <w:rsid w:val="383C55C8"/>
    <w:rsid w:val="383D3427"/>
    <w:rsid w:val="384EA496"/>
    <w:rsid w:val="38509683"/>
    <w:rsid w:val="3854B265"/>
    <w:rsid w:val="385899EF"/>
    <w:rsid w:val="3863C30F"/>
    <w:rsid w:val="386F7345"/>
    <w:rsid w:val="3880BF4A"/>
    <w:rsid w:val="38A11590"/>
    <w:rsid w:val="38A2BC7A"/>
    <w:rsid w:val="38B9A8FC"/>
    <w:rsid w:val="38BBD695"/>
    <w:rsid w:val="38C1F7B3"/>
    <w:rsid w:val="38C28FC8"/>
    <w:rsid w:val="38C60024"/>
    <w:rsid w:val="38C8DBCD"/>
    <w:rsid w:val="38CD1378"/>
    <w:rsid w:val="38D0A7E6"/>
    <w:rsid w:val="38DEB044"/>
    <w:rsid w:val="38FFF22E"/>
    <w:rsid w:val="3904DECE"/>
    <w:rsid w:val="391162C4"/>
    <w:rsid w:val="3914056A"/>
    <w:rsid w:val="39197453"/>
    <w:rsid w:val="3925F242"/>
    <w:rsid w:val="393C0727"/>
    <w:rsid w:val="393C45C5"/>
    <w:rsid w:val="393C7746"/>
    <w:rsid w:val="393DE5BA"/>
    <w:rsid w:val="3944224F"/>
    <w:rsid w:val="39463A36"/>
    <w:rsid w:val="395047CE"/>
    <w:rsid w:val="39549B07"/>
    <w:rsid w:val="39552FA6"/>
    <w:rsid w:val="396FD610"/>
    <w:rsid w:val="3975EE3B"/>
    <w:rsid w:val="39767E73"/>
    <w:rsid w:val="39823B7E"/>
    <w:rsid w:val="398CE619"/>
    <w:rsid w:val="3996E4A6"/>
    <w:rsid w:val="399866A9"/>
    <w:rsid w:val="399B7819"/>
    <w:rsid w:val="399DCDF0"/>
    <w:rsid w:val="39A8E016"/>
    <w:rsid w:val="39ACDC8D"/>
    <w:rsid w:val="39B78CD7"/>
    <w:rsid w:val="39B888E3"/>
    <w:rsid w:val="39B97EA2"/>
    <w:rsid w:val="39C0C91B"/>
    <w:rsid w:val="39CC2F13"/>
    <w:rsid w:val="39CEC236"/>
    <w:rsid w:val="39D49945"/>
    <w:rsid w:val="39DBDA54"/>
    <w:rsid w:val="39DE8EE1"/>
    <w:rsid w:val="39E62559"/>
    <w:rsid w:val="39EC6D77"/>
    <w:rsid w:val="3A01EDB7"/>
    <w:rsid w:val="3A038484"/>
    <w:rsid w:val="3A05C616"/>
    <w:rsid w:val="3A06949C"/>
    <w:rsid w:val="3A070B75"/>
    <w:rsid w:val="3A2EAB31"/>
    <w:rsid w:val="3A37B0AB"/>
    <w:rsid w:val="3A37E628"/>
    <w:rsid w:val="3A37ED95"/>
    <w:rsid w:val="3A449CD7"/>
    <w:rsid w:val="3A4E12A9"/>
    <w:rsid w:val="3A4FCCE9"/>
    <w:rsid w:val="3A5918D1"/>
    <w:rsid w:val="3A6CB850"/>
    <w:rsid w:val="3A6E8B18"/>
    <w:rsid w:val="3A8C4681"/>
    <w:rsid w:val="3A998934"/>
    <w:rsid w:val="3A99B5B7"/>
    <w:rsid w:val="3A9BA103"/>
    <w:rsid w:val="3A9CE8AB"/>
    <w:rsid w:val="3AB267B6"/>
    <w:rsid w:val="3AB353AC"/>
    <w:rsid w:val="3AB6911A"/>
    <w:rsid w:val="3AB9096D"/>
    <w:rsid w:val="3ABC4F0A"/>
    <w:rsid w:val="3ABD840A"/>
    <w:rsid w:val="3ABF31E4"/>
    <w:rsid w:val="3AD45CA0"/>
    <w:rsid w:val="3AD7145C"/>
    <w:rsid w:val="3AE5E839"/>
    <w:rsid w:val="3AF4D7A1"/>
    <w:rsid w:val="3B0AD54F"/>
    <w:rsid w:val="3B0B6F83"/>
    <w:rsid w:val="3B133A17"/>
    <w:rsid w:val="3B35F3B2"/>
    <w:rsid w:val="3B386984"/>
    <w:rsid w:val="3B4A0498"/>
    <w:rsid w:val="3B4CECBA"/>
    <w:rsid w:val="3B654776"/>
    <w:rsid w:val="3B660BCC"/>
    <w:rsid w:val="3B6EBC9E"/>
    <w:rsid w:val="3B760D56"/>
    <w:rsid w:val="3B842276"/>
    <w:rsid w:val="3B88494E"/>
    <w:rsid w:val="3B88A20D"/>
    <w:rsid w:val="3B8B4BE8"/>
    <w:rsid w:val="3B8C1A08"/>
    <w:rsid w:val="3B9C7FF8"/>
    <w:rsid w:val="3BA27F4F"/>
    <w:rsid w:val="3BA285B6"/>
    <w:rsid w:val="3BA324B7"/>
    <w:rsid w:val="3BA90709"/>
    <w:rsid w:val="3BABFB53"/>
    <w:rsid w:val="3BB18A5E"/>
    <w:rsid w:val="3BBA14EC"/>
    <w:rsid w:val="3BBBAB91"/>
    <w:rsid w:val="3BBC81B0"/>
    <w:rsid w:val="3BBD4D4D"/>
    <w:rsid w:val="3BC3A05E"/>
    <w:rsid w:val="3BC6CD3E"/>
    <w:rsid w:val="3BCAF930"/>
    <w:rsid w:val="3BE1F341"/>
    <w:rsid w:val="3BF2FD1C"/>
    <w:rsid w:val="3BFFDE04"/>
    <w:rsid w:val="3C12FCA2"/>
    <w:rsid w:val="3C25C855"/>
    <w:rsid w:val="3C2619A1"/>
    <w:rsid w:val="3C2C09CA"/>
    <w:rsid w:val="3C346CEE"/>
    <w:rsid w:val="3C3A5BC9"/>
    <w:rsid w:val="3C3A6622"/>
    <w:rsid w:val="3C3ACCA6"/>
    <w:rsid w:val="3C4BD94A"/>
    <w:rsid w:val="3C5B8D2A"/>
    <w:rsid w:val="3C649F6E"/>
    <w:rsid w:val="3C706AAF"/>
    <w:rsid w:val="3C721814"/>
    <w:rsid w:val="3C7EFEEB"/>
    <w:rsid w:val="3C90CFE4"/>
    <w:rsid w:val="3CA0C6AF"/>
    <w:rsid w:val="3CB082F5"/>
    <w:rsid w:val="3CB54ED3"/>
    <w:rsid w:val="3CB7A97E"/>
    <w:rsid w:val="3CB7D81D"/>
    <w:rsid w:val="3CB97D63"/>
    <w:rsid w:val="3CD347E9"/>
    <w:rsid w:val="3CD9A516"/>
    <w:rsid w:val="3CEA1C52"/>
    <w:rsid w:val="3CF00D97"/>
    <w:rsid w:val="3CF0FD17"/>
    <w:rsid w:val="3CF9E6DC"/>
    <w:rsid w:val="3CFFAB0D"/>
    <w:rsid w:val="3D170345"/>
    <w:rsid w:val="3D203CE4"/>
    <w:rsid w:val="3D28A093"/>
    <w:rsid w:val="3D2D4FC9"/>
    <w:rsid w:val="3D2F2B0A"/>
    <w:rsid w:val="3D316564"/>
    <w:rsid w:val="3D39AAF3"/>
    <w:rsid w:val="3D468D06"/>
    <w:rsid w:val="3D46A38C"/>
    <w:rsid w:val="3D4B1CB6"/>
    <w:rsid w:val="3D528C19"/>
    <w:rsid w:val="3D548BF2"/>
    <w:rsid w:val="3D55E816"/>
    <w:rsid w:val="3D5D250B"/>
    <w:rsid w:val="3D62EADC"/>
    <w:rsid w:val="3D685B66"/>
    <w:rsid w:val="3D6B59CB"/>
    <w:rsid w:val="3D700424"/>
    <w:rsid w:val="3D7CD82A"/>
    <w:rsid w:val="3D7F7BC6"/>
    <w:rsid w:val="3D84D442"/>
    <w:rsid w:val="3D893A9B"/>
    <w:rsid w:val="3D89DA53"/>
    <w:rsid w:val="3D89F101"/>
    <w:rsid w:val="3D8A22DA"/>
    <w:rsid w:val="3D8C3EAF"/>
    <w:rsid w:val="3D940E5A"/>
    <w:rsid w:val="3D956027"/>
    <w:rsid w:val="3D96890D"/>
    <w:rsid w:val="3D97D913"/>
    <w:rsid w:val="3D9CA55F"/>
    <w:rsid w:val="3D9F5367"/>
    <w:rsid w:val="3D9F8752"/>
    <w:rsid w:val="3D9FB8A6"/>
    <w:rsid w:val="3DB01E86"/>
    <w:rsid w:val="3DB6C710"/>
    <w:rsid w:val="3DC577ED"/>
    <w:rsid w:val="3DCFDF31"/>
    <w:rsid w:val="3DD29342"/>
    <w:rsid w:val="3DE3236B"/>
    <w:rsid w:val="3DE6850B"/>
    <w:rsid w:val="3DF0B0AF"/>
    <w:rsid w:val="3DF336B1"/>
    <w:rsid w:val="3DF4384D"/>
    <w:rsid w:val="3DFA3CB4"/>
    <w:rsid w:val="3DFE2451"/>
    <w:rsid w:val="3DFFB205"/>
    <w:rsid w:val="3DFFB9FD"/>
    <w:rsid w:val="3E0F769D"/>
    <w:rsid w:val="3E1581EB"/>
    <w:rsid w:val="3E16FBBD"/>
    <w:rsid w:val="3E17A66E"/>
    <w:rsid w:val="3E1FE0C3"/>
    <w:rsid w:val="3E2241BF"/>
    <w:rsid w:val="3E25A046"/>
    <w:rsid w:val="3E377A14"/>
    <w:rsid w:val="3E3788DF"/>
    <w:rsid w:val="3E4073ED"/>
    <w:rsid w:val="3E4BD153"/>
    <w:rsid w:val="3E502E71"/>
    <w:rsid w:val="3E586E18"/>
    <w:rsid w:val="3E640AC4"/>
    <w:rsid w:val="3E6F6950"/>
    <w:rsid w:val="3E75959A"/>
    <w:rsid w:val="3E794CA6"/>
    <w:rsid w:val="3E832DF7"/>
    <w:rsid w:val="3E86DE5A"/>
    <w:rsid w:val="3E872154"/>
    <w:rsid w:val="3E8D96D6"/>
    <w:rsid w:val="3E9F63B9"/>
    <w:rsid w:val="3EA51B60"/>
    <w:rsid w:val="3EABAE62"/>
    <w:rsid w:val="3EB15363"/>
    <w:rsid w:val="3EB217C5"/>
    <w:rsid w:val="3EC29D47"/>
    <w:rsid w:val="3EC5090C"/>
    <w:rsid w:val="3EC55EC5"/>
    <w:rsid w:val="3ECAB97B"/>
    <w:rsid w:val="3ED9B569"/>
    <w:rsid w:val="3EDD2017"/>
    <w:rsid w:val="3EEB6C5E"/>
    <w:rsid w:val="3EF0DCB4"/>
    <w:rsid w:val="3EF65937"/>
    <w:rsid w:val="3F1652EA"/>
    <w:rsid w:val="3F1FE660"/>
    <w:rsid w:val="3F234BF8"/>
    <w:rsid w:val="3F282973"/>
    <w:rsid w:val="3F2B1173"/>
    <w:rsid w:val="3F4A6178"/>
    <w:rsid w:val="3F4B694A"/>
    <w:rsid w:val="3F4D759B"/>
    <w:rsid w:val="3F519507"/>
    <w:rsid w:val="3F647D98"/>
    <w:rsid w:val="3F6495D4"/>
    <w:rsid w:val="3F662329"/>
    <w:rsid w:val="3F6D062F"/>
    <w:rsid w:val="3F700081"/>
    <w:rsid w:val="3F7C3FA6"/>
    <w:rsid w:val="3F8D039D"/>
    <w:rsid w:val="3F9355A5"/>
    <w:rsid w:val="3FA02BD0"/>
    <w:rsid w:val="3FB68B5B"/>
    <w:rsid w:val="3FBC7B73"/>
    <w:rsid w:val="3FC03845"/>
    <w:rsid w:val="3FC4549A"/>
    <w:rsid w:val="3FC85B03"/>
    <w:rsid w:val="3FCE7C9B"/>
    <w:rsid w:val="3FD7704F"/>
    <w:rsid w:val="3FF3B876"/>
    <w:rsid w:val="3FFA0E4A"/>
    <w:rsid w:val="3FFBC94C"/>
    <w:rsid w:val="4000CE35"/>
    <w:rsid w:val="40071F0D"/>
    <w:rsid w:val="40082509"/>
    <w:rsid w:val="4014780A"/>
    <w:rsid w:val="4015B19F"/>
    <w:rsid w:val="401B03E4"/>
    <w:rsid w:val="401D1F9E"/>
    <w:rsid w:val="4026CB15"/>
    <w:rsid w:val="40281EB1"/>
    <w:rsid w:val="40292710"/>
    <w:rsid w:val="403117F9"/>
    <w:rsid w:val="403BC17F"/>
    <w:rsid w:val="4044118A"/>
    <w:rsid w:val="405EFFD1"/>
    <w:rsid w:val="4066113F"/>
    <w:rsid w:val="4068C018"/>
    <w:rsid w:val="406C396B"/>
    <w:rsid w:val="4076FFFF"/>
    <w:rsid w:val="40813CE4"/>
    <w:rsid w:val="40881756"/>
    <w:rsid w:val="4088ED8C"/>
    <w:rsid w:val="408D735B"/>
    <w:rsid w:val="4091DFF0"/>
    <w:rsid w:val="409D58DD"/>
    <w:rsid w:val="40A055F9"/>
    <w:rsid w:val="40A09490"/>
    <w:rsid w:val="40ACFEE8"/>
    <w:rsid w:val="40ADAD1C"/>
    <w:rsid w:val="40ADBA60"/>
    <w:rsid w:val="40B1ECD5"/>
    <w:rsid w:val="40C40937"/>
    <w:rsid w:val="40C51E37"/>
    <w:rsid w:val="40D58AEB"/>
    <w:rsid w:val="40D960E1"/>
    <w:rsid w:val="40F53F0E"/>
    <w:rsid w:val="40F60303"/>
    <w:rsid w:val="40F69EE5"/>
    <w:rsid w:val="4104E11C"/>
    <w:rsid w:val="41059925"/>
    <w:rsid w:val="4110954E"/>
    <w:rsid w:val="4110A48E"/>
    <w:rsid w:val="4117B5FE"/>
    <w:rsid w:val="411BAB81"/>
    <w:rsid w:val="412445FC"/>
    <w:rsid w:val="4125B87D"/>
    <w:rsid w:val="41267A01"/>
    <w:rsid w:val="4134C520"/>
    <w:rsid w:val="413984B5"/>
    <w:rsid w:val="413B73D0"/>
    <w:rsid w:val="414D8630"/>
    <w:rsid w:val="4151DDDD"/>
    <w:rsid w:val="41685428"/>
    <w:rsid w:val="416BD8E9"/>
    <w:rsid w:val="416C779B"/>
    <w:rsid w:val="416DA4A7"/>
    <w:rsid w:val="417192AD"/>
    <w:rsid w:val="4179F44B"/>
    <w:rsid w:val="4184739F"/>
    <w:rsid w:val="418488A0"/>
    <w:rsid w:val="419928B4"/>
    <w:rsid w:val="41A4238D"/>
    <w:rsid w:val="41B3C941"/>
    <w:rsid w:val="41C442A4"/>
    <w:rsid w:val="41C73846"/>
    <w:rsid w:val="41D6DC0C"/>
    <w:rsid w:val="41E6BF53"/>
    <w:rsid w:val="41EF722D"/>
    <w:rsid w:val="41F0C0FB"/>
    <w:rsid w:val="41F808C7"/>
    <w:rsid w:val="420C83E6"/>
    <w:rsid w:val="421C7582"/>
    <w:rsid w:val="421F4E87"/>
    <w:rsid w:val="42201F19"/>
    <w:rsid w:val="4223A009"/>
    <w:rsid w:val="4235D107"/>
    <w:rsid w:val="423BB5B0"/>
    <w:rsid w:val="42427B7C"/>
    <w:rsid w:val="42439519"/>
    <w:rsid w:val="425F513F"/>
    <w:rsid w:val="426C4842"/>
    <w:rsid w:val="4274D51A"/>
    <w:rsid w:val="42763E9A"/>
    <w:rsid w:val="427B1EEB"/>
    <w:rsid w:val="427E3402"/>
    <w:rsid w:val="427FABC5"/>
    <w:rsid w:val="428B0C73"/>
    <w:rsid w:val="428E1E56"/>
    <w:rsid w:val="429008DF"/>
    <w:rsid w:val="4297238E"/>
    <w:rsid w:val="42A29725"/>
    <w:rsid w:val="42B24A2F"/>
    <w:rsid w:val="42B54C8A"/>
    <w:rsid w:val="42C22E38"/>
    <w:rsid w:val="42C39B33"/>
    <w:rsid w:val="42C5B99A"/>
    <w:rsid w:val="42D6DB82"/>
    <w:rsid w:val="42D74A85"/>
    <w:rsid w:val="42D8D69A"/>
    <w:rsid w:val="42E2C45C"/>
    <w:rsid w:val="42FB1CFE"/>
    <w:rsid w:val="430B3198"/>
    <w:rsid w:val="430B43BC"/>
    <w:rsid w:val="430D93B2"/>
    <w:rsid w:val="43123508"/>
    <w:rsid w:val="431336E2"/>
    <w:rsid w:val="43161EEB"/>
    <w:rsid w:val="431C06F6"/>
    <w:rsid w:val="43287776"/>
    <w:rsid w:val="4330DF87"/>
    <w:rsid w:val="433FE793"/>
    <w:rsid w:val="436430A3"/>
    <w:rsid w:val="437DE691"/>
    <w:rsid w:val="438FBC3D"/>
    <w:rsid w:val="438FF618"/>
    <w:rsid w:val="43936590"/>
    <w:rsid w:val="4394D642"/>
    <w:rsid w:val="439C6079"/>
    <w:rsid w:val="43A29B29"/>
    <w:rsid w:val="43AE9605"/>
    <w:rsid w:val="43B5DB2A"/>
    <w:rsid w:val="43BE3051"/>
    <w:rsid w:val="43C0B835"/>
    <w:rsid w:val="43C25CEB"/>
    <w:rsid w:val="43CB1830"/>
    <w:rsid w:val="43CBB6AD"/>
    <w:rsid w:val="43DB87A3"/>
    <w:rsid w:val="43F11AC0"/>
    <w:rsid w:val="43F8E472"/>
    <w:rsid w:val="43FC2C8C"/>
    <w:rsid w:val="43FD915A"/>
    <w:rsid w:val="4401E5EA"/>
    <w:rsid w:val="44021D37"/>
    <w:rsid w:val="44178FB9"/>
    <w:rsid w:val="441A19FF"/>
    <w:rsid w:val="4426483D"/>
    <w:rsid w:val="4429734A"/>
    <w:rsid w:val="444C3FB5"/>
    <w:rsid w:val="4454E8A4"/>
    <w:rsid w:val="445E0845"/>
    <w:rsid w:val="4463CE6B"/>
    <w:rsid w:val="446609CC"/>
    <w:rsid w:val="446B9EEE"/>
    <w:rsid w:val="446DE363"/>
    <w:rsid w:val="447223CB"/>
    <w:rsid w:val="44759583"/>
    <w:rsid w:val="447B7542"/>
    <w:rsid w:val="4483FD41"/>
    <w:rsid w:val="44957219"/>
    <w:rsid w:val="449592B1"/>
    <w:rsid w:val="4498A6BF"/>
    <w:rsid w:val="449D2E30"/>
    <w:rsid w:val="44A3D02F"/>
    <w:rsid w:val="44A6D065"/>
    <w:rsid w:val="44AA6FF9"/>
    <w:rsid w:val="44B0199B"/>
    <w:rsid w:val="44B14D27"/>
    <w:rsid w:val="44BF3C56"/>
    <w:rsid w:val="44BF8E9F"/>
    <w:rsid w:val="44CE9DDB"/>
    <w:rsid w:val="44D64EAE"/>
    <w:rsid w:val="44D8673F"/>
    <w:rsid w:val="44EFEC79"/>
    <w:rsid w:val="44F23F2B"/>
    <w:rsid w:val="44F63521"/>
    <w:rsid w:val="44F69C4A"/>
    <w:rsid w:val="450284AE"/>
    <w:rsid w:val="450A6C83"/>
    <w:rsid w:val="450ACECF"/>
    <w:rsid w:val="450C8EFA"/>
    <w:rsid w:val="4511EE9B"/>
    <w:rsid w:val="4515028C"/>
    <w:rsid w:val="4517816C"/>
    <w:rsid w:val="45260248"/>
    <w:rsid w:val="45300A52"/>
    <w:rsid w:val="4536544A"/>
    <w:rsid w:val="45428221"/>
    <w:rsid w:val="454B3488"/>
    <w:rsid w:val="4555D935"/>
    <w:rsid w:val="4556BAA0"/>
    <w:rsid w:val="4559C976"/>
    <w:rsid w:val="4559F321"/>
    <w:rsid w:val="4574CB3D"/>
    <w:rsid w:val="457E8A0A"/>
    <w:rsid w:val="4585E5F8"/>
    <w:rsid w:val="458601A9"/>
    <w:rsid w:val="458684FA"/>
    <w:rsid w:val="458CA299"/>
    <w:rsid w:val="4599E3A5"/>
    <w:rsid w:val="45AE9670"/>
    <w:rsid w:val="45B05958"/>
    <w:rsid w:val="45B2468C"/>
    <w:rsid w:val="45B9412A"/>
    <w:rsid w:val="45D31B37"/>
    <w:rsid w:val="45D8AEB4"/>
    <w:rsid w:val="45E7AF39"/>
    <w:rsid w:val="45EF999A"/>
    <w:rsid w:val="4604BBF3"/>
    <w:rsid w:val="46085751"/>
    <w:rsid w:val="4611278F"/>
    <w:rsid w:val="4616FB74"/>
    <w:rsid w:val="4619AD62"/>
    <w:rsid w:val="461D884E"/>
    <w:rsid w:val="461EC914"/>
    <w:rsid w:val="461F9101"/>
    <w:rsid w:val="46217743"/>
    <w:rsid w:val="46273E80"/>
    <w:rsid w:val="462C221D"/>
    <w:rsid w:val="462EB133"/>
    <w:rsid w:val="46337E2A"/>
    <w:rsid w:val="4634600E"/>
    <w:rsid w:val="463832EE"/>
    <w:rsid w:val="463AB49E"/>
    <w:rsid w:val="4645F692"/>
    <w:rsid w:val="46477A2E"/>
    <w:rsid w:val="464EE894"/>
    <w:rsid w:val="46514DFA"/>
    <w:rsid w:val="46569BEF"/>
    <w:rsid w:val="4656A1BD"/>
    <w:rsid w:val="4659D0D1"/>
    <w:rsid w:val="4667AA84"/>
    <w:rsid w:val="46690B3F"/>
    <w:rsid w:val="467C8076"/>
    <w:rsid w:val="467CA5ED"/>
    <w:rsid w:val="467D540F"/>
    <w:rsid w:val="46884111"/>
    <w:rsid w:val="46899A6D"/>
    <w:rsid w:val="468B8609"/>
    <w:rsid w:val="4690CE2C"/>
    <w:rsid w:val="46940C66"/>
    <w:rsid w:val="4695286D"/>
    <w:rsid w:val="4697A79C"/>
    <w:rsid w:val="46A429BF"/>
    <w:rsid w:val="46A76489"/>
    <w:rsid w:val="46ABBFDC"/>
    <w:rsid w:val="46AEE80C"/>
    <w:rsid w:val="46B6C0F0"/>
    <w:rsid w:val="46B78FC4"/>
    <w:rsid w:val="46BEBDFB"/>
    <w:rsid w:val="46D4A051"/>
    <w:rsid w:val="46D87C53"/>
    <w:rsid w:val="46DA63F2"/>
    <w:rsid w:val="46E2C559"/>
    <w:rsid w:val="46E552E8"/>
    <w:rsid w:val="46E86125"/>
    <w:rsid w:val="46F48C9B"/>
    <w:rsid w:val="46F54866"/>
    <w:rsid w:val="46FC8708"/>
    <w:rsid w:val="470A7E1B"/>
    <w:rsid w:val="470DFFC7"/>
    <w:rsid w:val="470EDBDF"/>
    <w:rsid w:val="47131453"/>
    <w:rsid w:val="47140E70"/>
    <w:rsid w:val="4718FD58"/>
    <w:rsid w:val="471C0A22"/>
    <w:rsid w:val="47293AC5"/>
    <w:rsid w:val="47341411"/>
    <w:rsid w:val="47407582"/>
    <w:rsid w:val="4741DEE8"/>
    <w:rsid w:val="4748F0F3"/>
    <w:rsid w:val="474BEA8C"/>
    <w:rsid w:val="4767F31C"/>
    <w:rsid w:val="4768907E"/>
    <w:rsid w:val="476B9AE7"/>
    <w:rsid w:val="476BB7AB"/>
    <w:rsid w:val="47734EC4"/>
    <w:rsid w:val="4779C6E8"/>
    <w:rsid w:val="4787DA42"/>
    <w:rsid w:val="478A64F9"/>
    <w:rsid w:val="478B9DE2"/>
    <w:rsid w:val="479AC73C"/>
    <w:rsid w:val="47A31915"/>
    <w:rsid w:val="47A88E47"/>
    <w:rsid w:val="47AF1D48"/>
    <w:rsid w:val="47B3972A"/>
    <w:rsid w:val="47B89563"/>
    <w:rsid w:val="47B90098"/>
    <w:rsid w:val="47C49310"/>
    <w:rsid w:val="47D23D28"/>
    <w:rsid w:val="47DE0464"/>
    <w:rsid w:val="47E56B8B"/>
    <w:rsid w:val="47EAA347"/>
    <w:rsid w:val="47EDB331"/>
    <w:rsid w:val="47EDDB7E"/>
    <w:rsid w:val="47F5425E"/>
    <w:rsid w:val="4806DE9C"/>
    <w:rsid w:val="4807ED94"/>
    <w:rsid w:val="480A9611"/>
    <w:rsid w:val="480F1452"/>
    <w:rsid w:val="48107949"/>
    <w:rsid w:val="481342DB"/>
    <w:rsid w:val="481A6FC6"/>
    <w:rsid w:val="481E72D7"/>
    <w:rsid w:val="4823180C"/>
    <w:rsid w:val="4827AA9F"/>
    <w:rsid w:val="482918D9"/>
    <w:rsid w:val="482F360D"/>
    <w:rsid w:val="482F5EDF"/>
    <w:rsid w:val="48383F06"/>
    <w:rsid w:val="48435C22"/>
    <w:rsid w:val="48474597"/>
    <w:rsid w:val="4859DB87"/>
    <w:rsid w:val="485F00B0"/>
    <w:rsid w:val="485F749D"/>
    <w:rsid w:val="4868138D"/>
    <w:rsid w:val="486C0FBA"/>
    <w:rsid w:val="4870251D"/>
    <w:rsid w:val="4871CA37"/>
    <w:rsid w:val="487B7144"/>
    <w:rsid w:val="48824B3F"/>
    <w:rsid w:val="488A823E"/>
    <w:rsid w:val="4893885F"/>
    <w:rsid w:val="48A14589"/>
    <w:rsid w:val="48A35104"/>
    <w:rsid w:val="48BCE40C"/>
    <w:rsid w:val="48C2D5A0"/>
    <w:rsid w:val="48C6FB18"/>
    <w:rsid w:val="48CF18AF"/>
    <w:rsid w:val="48DD42B0"/>
    <w:rsid w:val="48E27D1A"/>
    <w:rsid w:val="48E5C79D"/>
    <w:rsid w:val="49006C5B"/>
    <w:rsid w:val="49035F19"/>
    <w:rsid w:val="49063F7B"/>
    <w:rsid w:val="49071E82"/>
    <w:rsid w:val="4909BEB9"/>
    <w:rsid w:val="490D58F6"/>
    <w:rsid w:val="49288D1B"/>
    <w:rsid w:val="4928FDD4"/>
    <w:rsid w:val="49359BD4"/>
    <w:rsid w:val="493770F3"/>
    <w:rsid w:val="4945E6C0"/>
    <w:rsid w:val="495B92E2"/>
    <w:rsid w:val="49624F55"/>
    <w:rsid w:val="49625FFB"/>
    <w:rsid w:val="496633BE"/>
    <w:rsid w:val="496F26A0"/>
    <w:rsid w:val="4975AEC5"/>
    <w:rsid w:val="497BACA2"/>
    <w:rsid w:val="49800343"/>
    <w:rsid w:val="49878275"/>
    <w:rsid w:val="49878F65"/>
    <w:rsid w:val="49894E47"/>
    <w:rsid w:val="498B4965"/>
    <w:rsid w:val="498E378C"/>
    <w:rsid w:val="4997158A"/>
    <w:rsid w:val="499F7B1E"/>
    <w:rsid w:val="49A339BA"/>
    <w:rsid w:val="49B815E7"/>
    <w:rsid w:val="49BAEA4F"/>
    <w:rsid w:val="49BB9AAF"/>
    <w:rsid w:val="49C1F266"/>
    <w:rsid w:val="49C559E7"/>
    <w:rsid w:val="49C5D62F"/>
    <w:rsid w:val="49C616AB"/>
    <w:rsid w:val="49DD8651"/>
    <w:rsid w:val="49EF8084"/>
    <w:rsid w:val="49F4999B"/>
    <w:rsid w:val="49F7C128"/>
    <w:rsid w:val="49F831CD"/>
    <w:rsid w:val="49F83235"/>
    <w:rsid w:val="49FE09DE"/>
    <w:rsid w:val="49FFBA58"/>
    <w:rsid w:val="4A0CB9FD"/>
    <w:rsid w:val="4A0F9722"/>
    <w:rsid w:val="4A14D20C"/>
    <w:rsid w:val="4A1DE9B6"/>
    <w:rsid w:val="4A222714"/>
    <w:rsid w:val="4A2DF2DA"/>
    <w:rsid w:val="4A30EF24"/>
    <w:rsid w:val="4A3439A5"/>
    <w:rsid w:val="4A34BD61"/>
    <w:rsid w:val="4A36CA97"/>
    <w:rsid w:val="4A3CCF65"/>
    <w:rsid w:val="4A5AB85A"/>
    <w:rsid w:val="4A5B47A3"/>
    <w:rsid w:val="4A71A126"/>
    <w:rsid w:val="4A75BD24"/>
    <w:rsid w:val="4A81B04B"/>
    <w:rsid w:val="4A853022"/>
    <w:rsid w:val="4A950FCC"/>
    <w:rsid w:val="4A9F6E23"/>
    <w:rsid w:val="4AA6A3A9"/>
    <w:rsid w:val="4AA9370B"/>
    <w:rsid w:val="4AAABA81"/>
    <w:rsid w:val="4AAEE6F1"/>
    <w:rsid w:val="4AB07490"/>
    <w:rsid w:val="4AB0AB18"/>
    <w:rsid w:val="4AB2CE1B"/>
    <w:rsid w:val="4ABFB0C9"/>
    <w:rsid w:val="4AC5C6E4"/>
    <w:rsid w:val="4AC7916D"/>
    <w:rsid w:val="4ACFACAC"/>
    <w:rsid w:val="4AD0FAED"/>
    <w:rsid w:val="4AE28D59"/>
    <w:rsid w:val="4AF9E1D6"/>
    <w:rsid w:val="4AFC325D"/>
    <w:rsid w:val="4B09EA23"/>
    <w:rsid w:val="4B0E9C68"/>
    <w:rsid w:val="4B121C46"/>
    <w:rsid w:val="4B143F50"/>
    <w:rsid w:val="4B16C749"/>
    <w:rsid w:val="4B1EDF8D"/>
    <w:rsid w:val="4B29BFBD"/>
    <w:rsid w:val="4B3E78EE"/>
    <w:rsid w:val="4B53D4D1"/>
    <w:rsid w:val="4B5AAB14"/>
    <w:rsid w:val="4B5DC924"/>
    <w:rsid w:val="4B6601F5"/>
    <w:rsid w:val="4B690BCC"/>
    <w:rsid w:val="4B6B55A8"/>
    <w:rsid w:val="4B751203"/>
    <w:rsid w:val="4B7EEAA4"/>
    <w:rsid w:val="4B8174E8"/>
    <w:rsid w:val="4B817C0B"/>
    <w:rsid w:val="4B861759"/>
    <w:rsid w:val="4B861B98"/>
    <w:rsid w:val="4B91BBCC"/>
    <w:rsid w:val="4B962F69"/>
    <w:rsid w:val="4BB30D3A"/>
    <w:rsid w:val="4BBB9699"/>
    <w:rsid w:val="4BBE457A"/>
    <w:rsid w:val="4BC2E03D"/>
    <w:rsid w:val="4BC40475"/>
    <w:rsid w:val="4BC84DE8"/>
    <w:rsid w:val="4BCC7620"/>
    <w:rsid w:val="4BCE7942"/>
    <w:rsid w:val="4BD1E50D"/>
    <w:rsid w:val="4BD34DF9"/>
    <w:rsid w:val="4BDB044F"/>
    <w:rsid w:val="4BE332C9"/>
    <w:rsid w:val="4BE5E2E8"/>
    <w:rsid w:val="4BF02F28"/>
    <w:rsid w:val="4BFB0978"/>
    <w:rsid w:val="4BFB461D"/>
    <w:rsid w:val="4C0A7C0F"/>
    <w:rsid w:val="4C0D5A23"/>
    <w:rsid w:val="4C1C9C28"/>
    <w:rsid w:val="4C2F3BAC"/>
    <w:rsid w:val="4C31320C"/>
    <w:rsid w:val="4C322C5A"/>
    <w:rsid w:val="4C3A2AF6"/>
    <w:rsid w:val="4C3F65D3"/>
    <w:rsid w:val="4C4889E9"/>
    <w:rsid w:val="4C4C3387"/>
    <w:rsid w:val="4C5367C5"/>
    <w:rsid w:val="4C56A544"/>
    <w:rsid w:val="4C682CF7"/>
    <w:rsid w:val="4C6EBCD0"/>
    <w:rsid w:val="4C711CBD"/>
    <w:rsid w:val="4C864B8B"/>
    <w:rsid w:val="4C9481CE"/>
    <w:rsid w:val="4C9CC855"/>
    <w:rsid w:val="4CA04975"/>
    <w:rsid w:val="4CA178BE"/>
    <w:rsid w:val="4CA31D80"/>
    <w:rsid w:val="4CA59874"/>
    <w:rsid w:val="4CA6D3C2"/>
    <w:rsid w:val="4CA76B4A"/>
    <w:rsid w:val="4CAE23AA"/>
    <w:rsid w:val="4CB62F43"/>
    <w:rsid w:val="4CBA9DDB"/>
    <w:rsid w:val="4CC6486F"/>
    <w:rsid w:val="4CCE31FD"/>
    <w:rsid w:val="4CD0246F"/>
    <w:rsid w:val="4CD3CD32"/>
    <w:rsid w:val="4CE35FD9"/>
    <w:rsid w:val="4CF89749"/>
    <w:rsid w:val="4CFDCBFD"/>
    <w:rsid w:val="4CFDF9C4"/>
    <w:rsid w:val="4D18BDF0"/>
    <w:rsid w:val="4D230D09"/>
    <w:rsid w:val="4D2381A5"/>
    <w:rsid w:val="4D271654"/>
    <w:rsid w:val="4D27B9B6"/>
    <w:rsid w:val="4D2D37CF"/>
    <w:rsid w:val="4D31BB96"/>
    <w:rsid w:val="4D3CF35B"/>
    <w:rsid w:val="4D3E57B8"/>
    <w:rsid w:val="4D49F32C"/>
    <w:rsid w:val="4D4B3D3C"/>
    <w:rsid w:val="4D4C275E"/>
    <w:rsid w:val="4D592727"/>
    <w:rsid w:val="4D5A5A86"/>
    <w:rsid w:val="4D600BE7"/>
    <w:rsid w:val="4D687F7B"/>
    <w:rsid w:val="4D7BEB6A"/>
    <w:rsid w:val="4D7D41A4"/>
    <w:rsid w:val="4D859927"/>
    <w:rsid w:val="4D8ED4A2"/>
    <w:rsid w:val="4D91592C"/>
    <w:rsid w:val="4D99AA1B"/>
    <w:rsid w:val="4D9F82B2"/>
    <w:rsid w:val="4DA6D35A"/>
    <w:rsid w:val="4DA74177"/>
    <w:rsid w:val="4DB64104"/>
    <w:rsid w:val="4DB7FBFE"/>
    <w:rsid w:val="4DD05569"/>
    <w:rsid w:val="4DD0FDD4"/>
    <w:rsid w:val="4DD9831F"/>
    <w:rsid w:val="4DE3313F"/>
    <w:rsid w:val="4DE516A4"/>
    <w:rsid w:val="4DE6AE10"/>
    <w:rsid w:val="4DEE9DE0"/>
    <w:rsid w:val="4DF1E180"/>
    <w:rsid w:val="4E0CE721"/>
    <w:rsid w:val="4E0EC1E6"/>
    <w:rsid w:val="4E0ED7F2"/>
    <w:rsid w:val="4E0FE161"/>
    <w:rsid w:val="4E16753F"/>
    <w:rsid w:val="4E214A24"/>
    <w:rsid w:val="4E2CD2AA"/>
    <w:rsid w:val="4E308E79"/>
    <w:rsid w:val="4E35BC62"/>
    <w:rsid w:val="4E3629B6"/>
    <w:rsid w:val="4E3F6BA5"/>
    <w:rsid w:val="4E40F083"/>
    <w:rsid w:val="4E421C64"/>
    <w:rsid w:val="4E571C18"/>
    <w:rsid w:val="4E58F69E"/>
    <w:rsid w:val="4E61968C"/>
    <w:rsid w:val="4E6326E9"/>
    <w:rsid w:val="4E65AA9F"/>
    <w:rsid w:val="4E6B0D8F"/>
    <w:rsid w:val="4E85D011"/>
    <w:rsid w:val="4E9A42F8"/>
    <w:rsid w:val="4EA216EA"/>
    <w:rsid w:val="4EB1232A"/>
    <w:rsid w:val="4EB5084B"/>
    <w:rsid w:val="4EB8558A"/>
    <w:rsid w:val="4EBA561F"/>
    <w:rsid w:val="4EBD8D5E"/>
    <w:rsid w:val="4EC38216"/>
    <w:rsid w:val="4EC786A9"/>
    <w:rsid w:val="4EC78D44"/>
    <w:rsid w:val="4EDC2B52"/>
    <w:rsid w:val="4EE0B22D"/>
    <w:rsid w:val="4EE0E221"/>
    <w:rsid w:val="4EEE9AF4"/>
    <w:rsid w:val="4EEF2986"/>
    <w:rsid w:val="4EF097A6"/>
    <w:rsid w:val="4EFCD3A0"/>
    <w:rsid w:val="4F06200F"/>
    <w:rsid w:val="4F0E9E93"/>
    <w:rsid w:val="4F1880A6"/>
    <w:rsid w:val="4F3F4BB4"/>
    <w:rsid w:val="4F3FB64E"/>
    <w:rsid w:val="4F56EB92"/>
    <w:rsid w:val="4F5F5D50"/>
    <w:rsid w:val="4F7BF50F"/>
    <w:rsid w:val="4F7D7830"/>
    <w:rsid w:val="4F84D18F"/>
    <w:rsid w:val="4F869479"/>
    <w:rsid w:val="4F8DC14E"/>
    <w:rsid w:val="4F8E1AC9"/>
    <w:rsid w:val="4F98FAC7"/>
    <w:rsid w:val="4F9E94D3"/>
    <w:rsid w:val="4F9FE984"/>
    <w:rsid w:val="4FABED76"/>
    <w:rsid w:val="4FB124D5"/>
    <w:rsid w:val="4FBA4499"/>
    <w:rsid w:val="4FBC08D4"/>
    <w:rsid w:val="4FF2D0AC"/>
    <w:rsid w:val="4FFD750E"/>
    <w:rsid w:val="50007381"/>
    <w:rsid w:val="50031C7B"/>
    <w:rsid w:val="500720B0"/>
    <w:rsid w:val="500A1BD5"/>
    <w:rsid w:val="500EF2AA"/>
    <w:rsid w:val="50161C21"/>
    <w:rsid w:val="50218665"/>
    <w:rsid w:val="50221A4A"/>
    <w:rsid w:val="50266E61"/>
    <w:rsid w:val="50281CD2"/>
    <w:rsid w:val="502CDB80"/>
    <w:rsid w:val="5034A946"/>
    <w:rsid w:val="50352C30"/>
    <w:rsid w:val="503D7E1A"/>
    <w:rsid w:val="50479788"/>
    <w:rsid w:val="50554D6E"/>
    <w:rsid w:val="5056F0E6"/>
    <w:rsid w:val="505E4E37"/>
    <w:rsid w:val="50602F91"/>
    <w:rsid w:val="506240F3"/>
    <w:rsid w:val="5063694C"/>
    <w:rsid w:val="50915572"/>
    <w:rsid w:val="50968E00"/>
    <w:rsid w:val="509980B1"/>
    <w:rsid w:val="509A8751"/>
    <w:rsid w:val="509AF3EB"/>
    <w:rsid w:val="509CB3BF"/>
    <w:rsid w:val="50B47891"/>
    <w:rsid w:val="50B9240C"/>
    <w:rsid w:val="50E3FE8F"/>
    <w:rsid w:val="50E881A0"/>
    <w:rsid w:val="50E960F2"/>
    <w:rsid w:val="50EA8D14"/>
    <w:rsid w:val="50EF4953"/>
    <w:rsid w:val="50F6D5AA"/>
    <w:rsid w:val="50FBE2C0"/>
    <w:rsid w:val="50FEAE3D"/>
    <w:rsid w:val="510DA7C8"/>
    <w:rsid w:val="51139BC2"/>
    <w:rsid w:val="5125A4E4"/>
    <w:rsid w:val="5126F6AC"/>
    <w:rsid w:val="512A87E3"/>
    <w:rsid w:val="512C370D"/>
    <w:rsid w:val="512F4EAF"/>
    <w:rsid w:val="5130AD56"/>
    <w:rsid w:val="5134E8B9"/>
    <w:rsid w:val="513ADEBA"/>
    <w:rsid w:val="513E0155"/>
    <w:rsid w:val="5173DE08"/>
    <w:rsid w:val="5182EBEC"/>
    <w:rsid w:val="51964A76"/>
    <w:rsid w:val="51985599"/>
    <w:rsid w:val="519CD344"/>
    <w:rsid w:val="519E0D5C"/>
    <w:rsid w:val="51AC2784"/>
    <w:rsid w:val="51AE3C4B"/>
    <w:rsid w:val="51B11EFF"/>
    <w:rsid w:val="51B8CB94"/>
    <w:rsid w:val="51BED67E"/>
    <w:rsid w:val="51C5E007"/>
    <w:rsid w:val="51C91DB8"/>
    <w:rsid w:val="51D16275"/>
    <w:rsid w:val="51D1DA64"/>
    <w:rsid w:val="51D86C67"/>
    <w:rsid w:val="51DADEE8"/>
    <w:rsid w:val="51DAF6BA"/>
    <w:rsid w:val="51E72F56"/>
    <w:rsid w:val="51E787EB"/>
    <w:rsid w:val="51EA1695"/>
    <w:rsid w:val="51EEB003"/>
    <w:rsid w:val="51F3D404"/>
    <w:rsid w:val="51FD67B3"/>
    <w:rsid w:val="520452FE"/>
    <w:rsid w:val="5213B58E"/>
    <w:rsid w:val="521A7A96"/>
    <w:rsid w:val="521ACAA6"/>
    <w:rsid w:val="5226E092"/>
    <w:rsid w:val="5229462B"/>
    <w:rsid w:val="522E004C"/>
    <w:rsid w:val="52310ADA"/>
    <w:rsid w:val="52369ABD"/>
    <w:rsid w:val="5237EBA9"/>
    <w:rsid w:val="523DB1A9"/>
    <w:rsid w:val="5254E894"/>
    <w:rsid w:val="52710D62"/>
    <w:rsid w:val="527C87FC"/>
    <w:rsid w:val="5288B592"/>
    <w:rsid w:val="529F1630"/>
    <w:rsid w:val="52AC673F"/>
    <w:rsid w:val="52ADEF4A"/>
    <w:rsid w:val="52B19E59"/>
    <w:rsid w:val="52DDBD8C"/>
    <w:rsid w:val="52E2475B"/>
    <w:rsid w:val="52E7D769"/>
    <w:rsid w:val="52EF56BE"/>
    <w:rsid w:val="52FD36B5"/>
    <w:rsid w:val="52FDD74D"/>
    <w:rsid w:val="5305B8E3"/>
    <w:rsid w:val="53116863"/>
    <w:rsid w:val="5315B1B2"/>
    <w:rsid w:val="5316F8C0"/>
    <w:rsid w:val="5325F885"/>
    <w:rsid w:val="532A0381"/>
    <w:rsid w:val="5330682A"/>
    <w:rsid w:val="5344AFC8"/>
    <w:rsid w:val="534E484A"/>
    <w:rsid w:val="53509318"/>
    <w:rsid w:val="5353165F"/>
    <w:rsid w:val="535B8D53"/>
    <w:rsid w:val="53641B19"/>
    <w:rsid w:val="536C154D"/>
    <w:rsid w:val="53787E1F"/>
    <w:rsid w:val="5382BE13"/>
    <w:rsid w:val="539B61D1"/>
    <w:rsid w:val="53B20B73"/>
    <w:rsid w:val="53C5F0B9"/>
    <w:rsid w:val="53D0AA74"/>
    <w:rsid w:val="53D1B3D6"/>
    <w:rsid w:val="53D3EA98"/>
    <w:rsid w:val="53D53CBF"/>
    <w:rsid w:val="53D7CFC9"/>
    <w:rsid w:val="53EAF73F"/>
    <w:rsid w:val="53EC59B0"/>
    <w:rsid w:val="540776EE"/>
    <w:rsid w:val="5416C113"/>
    <w:rsid w:val="54353652"/>
    <w:rsid w:val="544322E5"/>
    <w:rsid w:val="54489E17"/>
    <w:rsid w:val="54495DAB"/>
    <w:rsid w:val="544EA8F4"/>
    <w:rsid w:val="54592B76"/>
    <w:rsid w:val="545B10B9"/>
    <w:rsid w:val="545BDC33"/>
    <w:rsid w:val="546681DD"/>
    <w:rsid w:val="5481190D"/>
    <w:rsid w:val="54875D7F"/>
    <w:rsid w:val="5492557B"/>
    <w:rsid w:val="54A9D5C6"/>
    <w:rsid w:val="54ADD802"/>
    <w:rsid w:val="54B9A6B1"/>
    <w:rsid w:val="54BBBE1F"/>
    <w:rsid w:val="54C986A1"/>
    <w:rsid w:val="54CDF050"/>
    <w:rsid w:val="54D44298"/>
    <w:rsid w:val="54D9CD56"/>
    <w:rsid w:val="54DD2EAC"/>
    <w:rsid w:val="54F576B4"/>
    <w:rsid w:val="54F763E8"/>
    <w:rsid w:val="54F9BD74"/>
    <w:rsid w:val="54FB57EC"/>
    <w:rsid w:val="54FE000A"/>
    <w:rsid w:val="550D9563"/>
    <w:rsid w:val="550DB04D"/>
    <w:rsid w:val="55105868"/>
    <w:rsid w:val="55127CCC"/>
    <w:rsid w:val="55157D7D"/>
    <w:rsid w:val="55179597"/>
    <w:rsid w:val="552095C7"/>
    <w:rsid w:val="552C3633"/>
    <w:rsid w:val="5538F2CE"/>
    <w:rsid w:val="553A14CB"/>
    <w:rsid w:val="553C1B2F"/>
    <w:rsid w:val="55420048"/>
    <w:rsid w:val="55472624"/>
    <w:rsid w:val="554AC951"/>
    <w:rsid w:val="5558BAF5"/>
    <w:rsid w:val="558348C1"/>
    <w:rsid w:val="558DFF17"/>
    <w:rsid w:val="55900688"/>
    <w:rsid w:val="5590407B"/>
    <w:rsid w:val="55A3C16B"/>
    <w:rsid w:val="55AB2392"/>
    <w:rsid w:val="55AD20EE"/>
    <w:rsid w:val="55B119CF"/>
    <w:rsid w:val="55B3C51E"/>
    <w:rsid w:val="55B47ED9"/>
    <w:rsid w:val="55C24B2F"/>
    <w:rsid w:val="55C50F3A"/>
    <w:rsid w:val="55C70A70"/>
    <w:rsid w:val="55D4AA89"/>
    <w:rsid w:val="55DC2380"/>
    <w:rsid w:val="55DECAF7"/>
    <w:rsid w:val="55E24790"/>
    <w:rsid w:val="55E4AA27"/>
    <w:rsid w:val="55E88EF4"/>
    <w:rsid w:val="55F4F734"/>
    <w:rsid w:val="55FBF220"/>
    <w:rsid w:val="55FDDD2F"/>
    <w:rsid w:val="560ADE28"/>
    <w:rsid w:val="560DF7DC"/>
    <w:rsid w:val="5613DA78"/>
    <w:rsid w:val="5614B539"/>
    <w:rsid w:val="56160D11"/>
    <w:rsid w:val="561C9EC3"/>
    <w:rsid w:val="561DC70E"/>
    <w:rsid w:val="562F8C82"/>
    <w:rsid w:val="56385596"/>
    <w:rsid w:val="5639ED04"/>
    <w:rsid w:val="563DC6D7"/>
    <w:rsid w:val="5642F1CF"/>
    <w:rsid w:val="5649FF5D"/>
    <w:rsid w:val="565EF23B"/>
    <w:rsid w:val="565F6057"/>
    <w:rsid w:val="5668AEDC"/>
    <w:rsid w:val="566C1D98"/>
    <w:rsid w:val="566F7B16"/>
    <w:rsid w:val="56718E1C"/>
    <w:rsid w:val="567795A0"/>
    <w:rsid w:val="568489EC"/>
    <w:rsid w:val="56860D68"/>
    <w:rsid w:val="5689259B"/>
    <w:rsid w:val="568BF403"/>
    <w:rsid w:val="568E0039"/>
    <w:rsid w:val="568E9CE8"/>
    <w:rsid w:val="5697CF50"/>
    <w:rsid w:val="569C6E5B"/>
    <w:rsid w:val="56A35B1A"/>
    <w:rsid w:val="56B82702"/>
    <w:rsid w:val="56BA3E47"/>
    <w:rsid w:val="56C083E3"/>
    <w:rsid w:val="56CD9BAD"/>
    <w:rsid w:val="56DAF149"/>
    <w:rsid w:val="56DF5A80"/>
    <w:rsid w:val="56E6A730"/>
    <w:rsid w:val="56EBC149"/>
    <w:rsid w:val="56EDA050"/>
    <w:rsid w:val="56FBF880"/>
    <w:rsid w:val="570191AD"/>
    <w:rsid w:val="5707E249"/>
    <w:rsid w:val="57095D66"/>
    <w:rsid w:val="571323BB"/>
    <w:rsid w:val="571C19C3"/>
    <w:rsid w:val="571CB82C"/>
    <w:rsid w:val="572EF19C"/>
    <w:rsid w:val="5738F1B4"/>
    <w:rsid w:val="573DB80A"/>
    <w:rsid w:val="57516EA1"/>
    <w:rsid w:val="575B55E9"/>
    <w:rsid w:val="57641849"/>
    <w:rsid w:val="5765EEB4"/>
    <w:rsid w:val="576855C9"/>
    <w:rsid w:val="576B81E9"/>
    <w:rsid w:val="577A8628"/>
    <w:rsid w:val="5791CACA"/>
    <w:rsid w:val="5794DBCB"/>
    <w:rsid w:val="579EDC96"/>
    <w:rsid w:val="57A4FE7D"/>
    <w:rsid w:val="57A7D80B"/>
    <w:rsid w:val="57AB2FE5"/>
    <w:rsid w:val="57ACB68A"/>
    <w:rsid w:val="57B05AB3"/>
    <w:rsid w:val="57B48FFC"/>
    <w:rsid w:val="57D60FA6"/>
    <w:rsid w:val="57D9598E"/>
    <w:rsid w:val="57DE5AD5"/>
    <w:rsid w:val="57EB4BD4"/>
    <w:rsid w:val="57ED8B48"/>
    <w:rsid w:val="57F2B8B1"/>
    <w:rsid w:val="57FB1E7E"/>
    <w:rsid w:val="5814294E"/>
    <w:rsid w:val="58171166"/>
    <w:rsid w:val="58171FBF"/>
    <w:rsid w:val="58206129"/>
    <w:rsid w:val="5821D6AE"/>
    <w:rsid w:val="5829BC33"/>
    <w:rsid w:val="58308FC0"/>
    <w:rsid w:val="583C8DB7"/>
    <w:rsid w:val="5841EFE0"/>
    <w:rsid w:val="584B440E"/>
    <w:rsid w:val="5850FCE1"/>
    <w:rsid w:val="58518799"/>
    <w:rsid w:val="586D1031"/>
    <w:rsid w:val="58767929"/>
    <w:rsid w:val="58775156"/>
    <w:rsid w:val="58882CE8"/>
    <w:rsid w:val="588A8577"/>
    <w:rsid w:val="588FF1EE"/>
    <w:rsid w:val="589414FD"/>
    <w:rsid w:val="589A5E5F"/>
    <w:rsid w:val="589CF128"/>
    <w:rsid w:val="58A08719"/>
    <w:rsid w:val="58A4F0E5"/>
    <w:rsid w:val="58A932F1"/>
    <w:rsid w:val="58AAD6EC"/>
    <w:rsid w:val="58BA1497"/>
    <w:rsid w:val="58D6CA31"/>
    <w:rsid w:val="58DE759D"/>
    <w:rsid w:val="58E45729"/>
    <w:rsid w:val="58E49BE8"/>
    <w:rsid w:val="58E96A18"/>
    <w:rsid w:val="58F715EE"/>
    <w:rsid w:val="59072A40"/>
    <w:rsid w:val="5909AE3F"/>
    <w:rsid w:val="59173BD1"/>
    <w:rsid w:val="591DAF80"/>
    <w:rsid w:val="591FF8A0"/>
    <w:rsid w:val="59239E29"/>
    <w:rsid w:val="592FD0D6"/>
    <w:rsid w:val="593190D4"/>
    <w:rsid w:val="5934A421"/>
    <w:rsid w:val="594E0653"/>
    <w:rsid w:val="5952C066"/>
    <w:rsid w:val="5954A867"/>
    <w:rsid w:val="595D1EC7"/>
    <w:rsid w:val="59657910"/>
    <w:rsid w:val="596742AF"/>
    <w:rsid w:val="596EC835"/>
    <w:rsid w:val="5977693D"/>
    <w:rsid w:val="597B8F03"/>
    <w:rsid w:val="597C807B"/>
    <w:rsid w:val="5988C1EE"/>
    <w:rsid w:val="598B2BD6"/>
    <w:rsid w:val="5995418F"/>
    <w:rsid w:val="599A7B9A"/>
    <w:rsid w:val="599AC50E"/>
    <w:rsid w:val="599CF8EA"/>
    <w:rsid w:val="59B7049F"/>
    <w:rsid w:val="59B78F42"/>
    <w:rsid w:val="59BA2801"/>
    <w:rsid w:val="59C027AA"/>
    <w:rsid w:val="59C4E6F1"/>
    <w:rsid w:val="59CA8FC7"/>
    <w:rsid w:val="59D0E8C3"/>
    <w:rsid w:val="59D13260"/>
    <w:rsid w:val="59D1FB76"/>
    <w:rsid w:val="59D9D194"/>
    <w:rsid w:val="59DED3A8"/>
    <w:rsid w:val="59E386AB"/>
    <w:rsid w:val="59E57EE1"/>
    <w:rsid w:val="59E5A44E"/>
    <w:rsid w:val="59EB9611"/>
    <w:rsid w:val="59EFD0FF"/>
    <w:rsid w:val="59F4A077"/>
    <w:rsid w:val="5A0B42EE"/>
    <w:rsid w:val="5A178D7E"/>
    <w:rsid w:val="5A1E424C"/>
    <w:rsid w:val="5A237578"/>
    <w:rsid w:val="5A26AE38"/>
    <w:rsid w:val="5A299C60"/>
    <w:rsid w:val="5A2F636E"/>
    <w:rsid w:val="5A3B3985"/>
    <w:rsid w:val="5A3B51AD"/>
    <w:rsid w:val="5A3D2E1D"/>
    <w:rsid w:val="5A442CE5"/>
    <w:rsid w:val="5A4485FF"/>
    <w:rsid w:val="5A4898E0"/>
    <w:rsid w:val="5A4B4B09"/>
    <w:rsid w:val="5A59B5D8"/>
    <w:rsid w:val="5A5A5215"/>
    <w:rsid w:val="5A5B5E6B"/>
    <w:rsid w:val="5A5FE930"/>
    <w:rsid w:val="5A60C066"/>
    <w:rsid w:val="5A6357D8"/>
    <w:rsid w:val="5A681AC0"/>
    <w:rsid w:val="5A7611C4"/>
    <w:rsid w:val="5A86989D"/>
    <w:rsid w:val="5A87D2AE"/>
    <w:rsid w:val="5A8AD58C"/>
    <w:rsid w:val="5A8B7AD3"/>
    <w:rsid w:val="5A8B9B31"/>
    <w:rsid w:val="5AA9BCC3"/>
    <w:rsid w:val="5AAB9BBE"/>
    <w:rsid w:val="5AC87465"/>
    <w:rsid w:val="5AD1141E"/>
    <w:rsid w:val="5AD995D5"/>
    <w:rsid w:val="5ADEE3AE"/>
    <w:rsid w:val="5AEC57A8"/>
    <w:rsid w:val="5AF69FDE"/>
    <w:rsid w:val="5AFA4564"/>
    <w:rsid w:val="5AFA60D8"/>
    <w:rsid w:val="5B0DAA93"/>
    <w:rsid w:val="5B125403"/>
    <w:rsid w:val="5B16CB61"/>
    <w:rsid w:val="5B20C46B"/>
    <w:rsid w:val="5B311E89"/>
    <w:rsid w:val="5B4E42BC"/>
    <w:rsid w:val="5B5458D6"/>
    <w:rsid w:val="5B5810D5"/>
    <w:rsid w:val="5B607266"/>
    <w:rsid w:val="5B6EE17F"/>
    <w:rsid w:val="5B7C47A2"/>
    <w:rsid w:val="5B823F06"/>
    <w:rsid w:val="5B96B2C8"/>
    <w:rsid w:val="5B99B948"/>
    <w:rsid w:val="5B9F62AD"/>
    <w:rsid w:val="5BA4DB00"/>
    <w:rsid w:val="5BA4DFF3"/>
    <w:rsid w:val="5BA86F8E"/>
    <w:rsid w:val="5BACEE4C"/>
    <w:rsid w:val="5BAEAB6A"/>
    <w:rsid w:val="5BB61B13"/>
    <w:rsid w:val="5BCC582A"/>
    <w:rsid w:val="5BCE9AC1"/>
    <w:rsid w:val="5BD49985"/>
    <w:rsid w:val="5BDBE184"/>
    <w:rsid w:val="5BDCB1F8"/>
    <w:rsid w:val="5BDD4150"/>
    <w:rsid w:val="5BE0B57F"/>
    <w:rsid w:val="5BE11675"/>
    <w:rsid w:val="5BE2905A"/>
    <w:rsid w:val="5BEC8F16"/>
    <w:rsid w:val="5BFEA907"/>
    <w:rsid w:val="5BFF4EBF"/>
    <w:rsid w:val="5C049ABC"/>
    <w:rsid w:val="5C113841"/>
    <w:rsid w:val="5C206B54"/>
    <w:rsid w:val="5C20E8C0"/>
    <w:rsid w:val="5C261955"/>
    <w:rsid w:val="5C29E60E"/>
    <w:rsid w:val="5C2CF235"/>
    <w:rsid w:val="5C2DE06B"/>
    <w:rsid w:val="5C35076E"/>
    <w:rsid w:val="5C537747"/>
    <w:rsid w:val="5C5455C7"/>
    <w:rsid w:val="5C5C5687"/>
    <w:rsid w:val="5C68F57C"/>
    <w:rsid w:val="5C6DE4DD"/>
    <w:rsid w:val="5C6E5AA1"/>
    <w:rsid w:val="5C74A8B3"/>
    <w:rsid w:val="5C7EFBAD"/>
    <w:rsid w:val="5C8104F2"/>
    <w:rsid w:val="5C911E8A"/>
    <w:rsid w:val="5C92654F"/>
    <w:rsid w:val="5CA219C6"/>
    <w:rsid w:val="5CA3F990"/>
    <w:rsid w:val="5CB3B3F7"/>
    <w:rsid w:val="5CC7EE07"/>
    <w:rsid w:val="5CCF4451"/>
    <w:rsid w:val="5CD1A960"/>
    <w:rsid w:val="5CD87858"/>
    <w:rsid w:val="5CD96B75"/>
    <w:rsid w:val="5CDE99CA"/>
    <w:rsid w:val="5CEC807F"/>
    <w:rsid w:val="5CF60534"/>
    <w:rsid w:val="5D00FC1E"/>
    <w:rsid w:val="5D158851"/>
    <w:rsid w:val="5D347C9D"/>
    <w:rsid w:val="5D373121"/>
    <w:rsid w:val="5D37E72B"/>
    <w:rsid w:val="5D3B4E7C"/>
    <w:rsid w:val="5D44F634"/>
    <w:rsid w:val="5D48FE6A"/>
    <w:rsid w:val="5D4916A2"/>
    <w:rsid w:val="5D4E5FDF"/>
    <w:rsid w:val="5D529A26"/>
    <w:rsid w:val="5D5A03EF"/>
    <w:rsid w:val="5D5A7025"/>
    <w:rsid w:val="5D7022EC"/>
    <w:rsid w:val="5D7080E3"/>
    <w:rsid w:val="5D70BC25"/>
    <w:rsid w:val="5D729F56"/>
    <w:rsid w:val="5D755E36"/>
    <w:rsid w:val="5D863338"/>
    <w:rsid w:val="5D8D1D9A"/>
    <w:rsid w:val="5D8EE28D"/>
    <w:rsid w:val="5D954677"/>
    <w:rsid w:val="5D980A7E"/>
    <w:rsid w:val="5DA36FC3"/>
    <w:rsid w:val="5DA4D55A"/>
    <w:rsid w:val="5DB22EEF"/>
    <w:rsid w:val="5DBC9830"/>
    <w:rsid w:val="5DBD9399"/>
    <w:rsid w:val="5DBEF394"/>
    <w:rsid w:val="5DC24FF3"/>
    <w:rsid w:val="5DCBCCF3"/>
    <w:rsid w:val="5DD108EF"/>
    <w:rsid w:val="5DD24C88"/>
    <w:rsid w:val="5DD3B93D"/>
    <w:rsid w:val="5DD7DDFF"/>
    <w:rsid w:val="5DE29BF6"/>
    <w:rsid w:val="5DE51486"/>
    <w:rsid w:val="5DF15E79"/>
    <w:rsid w:val="5DFDE334"/>
    <w:rsid w:val="5E00E278"/>
    <w:rsid w:val="5E088408"/>
    <w:rsid w:val="5E09486E"/>
    <w:rsid w:val="5E19D278"/>
    <w:rsid w:val="5E24C0D1"/>
    <w:rsid w:val="5E24CBB2"/>
    <w:rsid w:val="5E27886E"/>
    <w:rsid w:val="5E27BA3B"/>
    <w:rsid w:val="5E2F0B4A"/>
    <w:rsid w:val="5E374B1D"/>
    <w:rsid w:val="5E3CA30F"/>
    <w:rsid w:val="5E3DFBAF"/>
    <w:rsid w:val="5E3F1658"/>
    <w:rsid w:val="5E441774"/>
    <w:rsid w:val="5E595EEA"/>
    <w:rsid w:val="5E5F8EFF"/>
    <w:rsid w:val="5E64EE9E"/>
    <w:rsid w:val="5E66A9B2"/>
    <w:rsid w:val="5E8847D1"/>
    <w:rsid w:val="5E920496"/>
    <w:rsid w:val="5EA23217"/>
    <w:rsid w:val="5EA9E90B"/>
    <w:rsid w:val="5EB03F65"/>
    <w:rsid w:val="5EB0FC2C"/>
    <w:rsid w:val="5EB76F57"/>
    <w:rsid w:val="5EC1490A"/>
    <w:rsid w:val="5EC5DB50"/>
    <w:rsid w:val="5EDA3D95"/>
    <w:rsid w:val="5EE23157"/>
    <w:rsid w:val="5EE37680"/>
    <w:rsid w:val="5EF2D619"/>
    <w:rsid w:val="5EF73B7F"/>
    <w:rsid w:val="5F07AEBF"/>
    <w:rsid w:val="5F1C6B37"/>
    <w:rsid w:val="5F1D4624"/>
    <w:rsid w:val="5F1F9A6A"/>
    <w:rsid w:val="5F20ACEE"/>
    <w:rsid w:val="5F20CD36"/>
    <w:rsid w:val="5F2FA982"/>
    <w:rsid w:val="5F357761"/>
    <w:rsid w:val="5F3F86D8"/>
    <w:rsid w:val="5F40BC35"/>
    <w:rsid w:val="5F478783"/>
    <w:rsid w:val="5F5763C9"/>
    <w:rsid w:val="5F5D9C19"/>
    <w:rsid w:val="5F61F499"/>
    <w:rsid w:val="5F68A9EA"/>
    <w:rsid w:val="5F72548E"/>
    <w:rsid w:val="5F77143F"/>
    <w:rsid w:val="5F7971C6"/>
    <w:rsid w:val="5F7E167E"/>
    <w:rsid w:val="5F8C116E"/>
    <w:rsid w:val="5FA9B2FA"/>
    <w:rsid w:val="5FB86C50"/>
    <w:rsid w:val="5FB90ADF"/>
    <w:rsid w:val="5FBB368D"/>
    <w:rsid w:val="5FBED64C"/>
    <w:rsid w:val="5FC008FE"/>
    <w:rsid w:val="5FC3EF1B"/>
    <w:rsid w:val="5FCF046F"/>
    <w:rsid w:val="5FD26052"/>
    <w:rsid w:val="5FD94F2C"/>
    <w:rsid w:val="5FE7989D"/>
    <w:rsid w:val="5FE88324"/>
    <w:rsid w:val="5FEDB9FF"/>
    <w:rsid w:val="5FF745E0"/>
    <w:rsid w:val="5FF9F8F5"/>
    <w:rsid w:val="600D875B"/>
    <w:rsid w:val="602ABCEA"/>
    <w:rsid w:val="603EDED4"/>
    <w:rsid w:val="605444F1"/>
    <w:rsid w:val="6056D504"/>
    <w:rsid w:val="60576AF7"/>
    <w:rsid w:val="6063BD6E"/>
    <w:rsid w:val="6064173E"/>
    <w:rsid w:val="606FEEC9"/>
    <w:rsid w:val="60718535"/>
    <w:rsid w:val="60779663"/>
    <w:rsid w:val="607B4EC7"/>
    <w:rsid w:val="6087BF5C"/>
    <w:rsid w:val="608CFA83"/>
    <w:rsid w:val="60977B00"/>
    <w:rsid w:val="609AEF09"/>
    <w:rsid w:val="60AA51A2"/>
    <w:rsid w:val="60B5ABCE"/>
    <w:rsid w:val="60C1B13F"/>
    <w:rsid w:val="60C218F7"/>
    <w:rsid w:val="60C2D5E0"/>
    <w:rsid w:val="60D04A6F"/>
    <w:rsid w:val="60E3D113"/>
    <w:rsid w:val="60E8C58A"/>
    <w:rsid w:val="60F101C5"/>
    <w:rsid w:val="60F22C44"/>
    <w:rsid w:val="60F352BF"/>
    <w:rsid w:val="60F804BB"/>
    <w:rsid w:val="60FD6B95"/>
    <w:rsid w:val="60FF4D0B"/>
    <w:rsid w:val="60FFBAEC"/>
    <w:rsid w:val="610DF1C6"/>
    <w:rsid w:val="61156D91"/>
    <w:rsid w:val="611674BE"/>
    <w:rsid w:val="611B9DCF"/>
    <w:rsid w:val="611BF9BE"/>
    <w:rsid w:val="61257779"/>
    <w:rsid w:val="612FA779"/>
    <w:rsid w:val="61329B2F"/>
    <w:rsid w:val="6134DA40"/>
    <w:rsid w:val="61378AF7"/>
    <w:rsid w:val="6137E8EB"/>
    <w:rsid w:val="6138A051"/>
    <w:rsid w:val="613B1B63"/>
    <w:rsid w:val="613E5D63"/>
    <w:rsid w:val="61453B9C"/>
    <w:rsid w:val="61458278"/>
    <w:rsid w:val="614A0076"/>
    <w:rsid w:val="614EB129"/>
    <w:rsid w:val="61550A07"/>
    <w:rsid w:val="61656DF3"/>
    <w:rsid w:val="617656D6"/>
    <w:rsid w:val="6178022D"/>
    <w:rsid w:val="61783937"/>
    <w:rsid w:val="617ECE24"/>
    <w:rsid w:val="61922C9B"/>
    <w:rsid w:val="6192C390"/>
    <w:rsid w:val="619BB89F"/>
    <w:rsid w:val="619D1BA6"/>
    <w:rsid w:val="619F363F"/>
    <w:rsid w:val="61A0913A"/>
    <w:rsid w:val="61AD2B4D"/>
    <w:rsid w:val="61BACAB5"/>
    <w:rsid w:val="61BC91F9"/>
    <w:rsid w:val="61BCBB14"/>
    <w:rsid w:val="61BE694F"/>
    <w:rsid w:val="61C23787"/>
    <w:rsid w:val="61C859EA"/>
    <w:rsid w:val="61D113C0"/>
    <w:rsid w:val="61DA055F"/>
    <w:rsid w:val="61E03A39"/>
    <w:rsid w:val="61E10D0C"/>
    <w:rsid w:val="61E9940E"/>
    <w:rsid w:val="61EF0974"/>
    <w:rsid w:val="61F0E4FD"/>
    <w:rsid w:val="61F528D9"/>
    <w:rsid w:val="62017991"/>
    <w:rsid w:val="620215C0"/>
    <w:rsid w:val="620E7D9E"/>
    <w:rsid w:val="6210572A"/>
    <w:rsid w:val="6216ED10"/>
    <w:rsid w:val="621774C1"/>
    <w:rsid w:val="621932F9"/>
    <w:rsid w:val="6226E8FC"/>
    <w:rsid w:val="622A5540"/>
    <w:rsid w:val="6235A5F9"/>
    <w:rsid w:val="6237D8D9"/>
    <w:rsid w:val="62392706"/>
    <w:rsid w:val="624598EE"/>
    <w:rsid w:val="62460DD5"/>
    <w:rsid w:val="624ED4B0"/>
    <w:rsid w:val="624F883E"/>
    <w:rsid w:val="625852FD"/>
    <w:rsid w:val="62959BF6"/>
    <w:rsid w:val="62A1FD2C"/>
    <w:rsid w:val="62A4D515"/>
    <w:rsid w:val="62AAE0C9"/>
    <w:rsid w:val="62C67A6D"/>
    <w:rsid w:val="62E9BB52"/>
    <w:rsid w:val="62F3EC29"/>
    <w:rsid w:val="62FA3FD6"/>
    <w:rsid w:val="6311958E"/>
    <w:rsid w:val="6320C006"/>
    <w:rsid w:val="63336659"/>
    <w:rsid w:val="633A4180"/>
    <w:rsid w:val="633A7FA7"/>
    <w:rsid w:val="633C4865"/>
    <w:rsid w:val="634861A1"/>
    <w:rsid w:val="634E3088"/>
    <w:rsid w:val="635AA97F"/>
    <w:rsid w:val="635B8DB5"/>
    <w:rsid w:val="636C9D95"/>
    <w:rsid w:val="63773692"/>
    <w:rsid w:val="637EDC2E"/>
    <w:rsid w:val="6381989B"/>
    <w:rsid w:val="639C5763"/>
    <w:rsid w:val="63A0950D"/>
    <w:rsid w:val="63A6C42C"/>
    <w:rsid w:val="63AD4AE0"/>
    <w:rsid w:val="63B39981"/>
    <w:rsid w:val="63BB5046"/>
    <w:rsid w:val="63BBD887"/>
    <w:rsid w:val="63C25166"/>
    <w:rsid w:val="63CFC1AB"/>
    <w:rsid w:val="63D26D1F"/>
    <w:rsid w:val="63F577EF"/>
    <w:rsid w:val="6403F933"/>
    <w:rsid w:val="64082BB6"/>
    <w:rsid w:val="6416330B"/>
    <w:rsid w:val="64165A44"/>
    <w:rsid w:val="64201A64"/>
    <w:rsid w:val="6434FF2E"/>
    <w:rsid w:val="644ACA43"/>
    <w:rsid w:val="645AEC54"/>
    <w:rsid w:val="64609F9D"/>
    <w:rsid w:val="64687DE1"/>
    <w:rsid w:val="646CCD09"/>
    <w:rsid w:val="647B24AD"/>
    <w:rsid w:val="647E56F2"/>
    <w:rsid w:val="6481FD7F"/>
    <w:rsid w:val="6489C8A0"/>
    <w:rsid w:val="6493D472"/>
    <w:rsid w:val="649C09AD"/>
    <w:rsid w:val="64A2F263"/>
    <w:rsid w:val="64B49A16"/>
    <w:rsid w:val="64BAA718"/>
    <w:rsid w:val="64CD5442"/>
    <w:rsid w:val="64E7E823"/>
    <w:rsid w:val="64F0114A"/>
    <w:rsid w:val="64F14FD1"/>
    <w:rsid w:val="64F52423"/>
    <w:rsid w:val="64FE7B9B"/>
    <w:rsid w:val="65037679"/>
    <w:rsid w:val="651483AF"/>
    <w:rsid w:val="651A2853"/>
    <w:rsid w:val="65207FEC"/>
    <w:rsid w:val="652D6A0C"/>
    <w:rsid w:val="652F3AA1"/>
    <w:rsid w:val="653EF438"/>
    <w:rsid w:val="6545003C"/>
    <w:rsid w:val="654A8C93"/>
    <w:rsid w:val="654AD8C4"/>
    <w:rsid w:val="654EB0AE"/>
    <w:rsid w:val="654EB703"/>
    <w:rsid w:val="654F4C04"/>
    <w:rsid w:val="655B14EF"/>
    <w:rsid w:val="6567B25C"/>
    <w:rsid w:val="6568F47A"/>
    <w:rsid w:val="6575B7EB"/>
    <w:rsid w:val="65813515"/>
    <w:rsid w:val="65891EBB"/>
    <w:rsid w:val="65950CFA"/>
    <w:rsid w:val="659C01F1"/>
    <w:rsid w:val="659CB2CA"/>
    <w:rsid w:val="659E473F"/>
    <w:rsid w:val="65A51A39"/>
    <w:rsid w:val="65B22958"/>
    <w:rsid w:val="65B345B5"/>
    <w:rsid w:val="65B89C19"/>
    <w:rsid w:val="65BE094A"/>
    <w:rsid w:val="65BE320E"/>
    <w:rsid w:val="65BF077C"/>
    <w:rsid w:val="65C31B35"/>
    <w:rsid w:val="65C61087"/>
    <w:rsid w:val="65D2433A"/>
    <w:rsid w:val="65D4B1BB"/>
    <w:rsid w:val="65D68FA9"/>
    <w:rsid w:val="65D9C500"/>
    <w:rsid w:val="65DC84C5"/>
    <w:rsid w:val="65E0E71D"/>
    <w:rsid w:val="65E675C7"/>
    <w:rsid w:val="65E7A93D"/>
    <w:rsid w:val="65EA22D1"/>
    <w:rsid w:val="65F2FAAD"/>
    <w:rsid w:val="65F36C0A"/>
    <w:rsid w:val="66061F92"/>
    <w:rsid w:val="660C0AF7"/>
    <w:rsid w:val="661301EA"/>
    <w:rsid w:val="66174735"/>
    <w:rsid w:val="662A3395"/>
    <w:rsid w:val="662CA00B"/>
    <w:rsid w:val="663FE253"/>
    <w:rsid w:val="66408DBF"/>
    <w:rsid w:val="66471CD6"/>
    <w:rsid w:val="664F3BB6"/>
    <w:rsid w:val="6654C71F"/>
    <w:rsid w:val="6655FEA3"/>
    <w:rsid w:val="6657B1D1"/>
    <w:rsid w:val="665F8500"/>
    <w:rsid w:val="66602EEB"/>
    <w:rsid w:val="66734060"/>
    <w:rsid w:val="668476E0"/>
    <w:rsid w:val="66884C02"/>
    <w:rsid w:val="66919256"/>
    <w:rsid w:val="66AC8566"/>
    <w:rsid w:val="66C23D4A"/>
    <w:rsid w:val="66CB1D61"/>
    <w:rsid w:val="66DA26E2"/>
    <w:rsid w:val="66E814EF"/>
    <w:rsid w:val="66F16394"/>
    <w:rsid w:val="66F247AE"/>
    <w:rsid w:val="66F30CB4"/>
    <w:rsid w:val="67232768"/>
    <w:rsid w:val="6736C316"/>
    <w:rsid w:val="6754A123"/>
    <w:rsid w:val="675592A1"/>
    <w:rsid w:val="675C6696"/>
    <w:rsid w:val="675CF8D0"/>
    <w:rsid w:val="67612C0D"/>
    <w:rsid w:val="676F2E0E"/>
    <w:rsid w:val="677370FE"/>
    <w:rsid w:val="6776DEAB"/>
    <w:rsid w:val="679809B7"/>
    <w:rsid w:val="67A0792C"/>
    <w:rsid w:val="67BA8B50"/>
    <w:rsid w:val="67D15F7E"/>
    <w:rsid w:val="67E64477"/>
    <w:rsid w:val="67EB1DF9"/>
    <w:rsid w:val="67EE933A"/>
    <w:rsid w:val="67EF43C4"/>
    <w:rsid w:val="67EFE408"/>
    <w:rsid w:val="67F7DAF5"/>
    <w:rsid w:val="67FC9F2D"/>
    <w:rsid w:val="67FEE08A"/>
    <w:rsid w:val="68011F1E"/>
    <w:rsid w:val="680201AC"/>
    <w:rsid w:val="68023630"/>
    <w:rsid w:val="68041B5C"/>
    <w:rsid w:val="68059897"/>
    <w:rsid w:val="6808742E"/>
    <w:rsid w:val="681F8EDC"/>
    <w:rsid w:val="68232B80"/>
    <w:rsid w:val="68252C38"/>
    <w:rsid w:val="6825AFE9"/>
    <w:rsid w:val="685A10BD"/>
    <w:rsid w:val="685FE073"/>
    <w:rsid w:val="68620966"/>
    <w:rsid w:val="6864FA4A"/>
    <w:rsid w:val="686BB09A"/>
    <w:rsid w:val="68727F35"/>
    <w:rsid w:val="687FFF99"/>
    <w:rsid w:val="6881AD2D"/>
    <w:rsid w:val="688C3677"/>
    <w:rsid w:val="68952F3F"/>
    <w:rsid w:val="689BE7EE"/>
    <w:rsid w:val="689C248B"/>
    <w:rsid w:val="68A401F6"/>
    <w:rsid w:val="68AA5064"/>
    <w:rsid w:val="68B85BA3"/>
    <w:rsid w:val="68BE20F3"/>
    <w:rsid w:val="68C21498"/>
    <w:rsid w:val="68CCA106"/>
    <w:rsid w:val="68D28373"/>
    <w:rsid w:val="68E06AD9"/>
    <w:rsid w:val="68F8BD09"/>
    <w:rsid w:val="68F9E97F"/>
    <w:rsid w:val="68FDD4BF"/>
    <w:rsid w:val="68FF52BF"/>
    <w:rsid w:val="69065613"/>
    <w:rsid w:val="69183910"/>
    <w:rsid w:val="69196F31"/>
    <w:rsid w:val="692164EC"/>
    <w:rsid w:val="69226011"/>
    <w:rsid w:val="69250F93"/>
    <w:rsid w:val="692510B3"/>
    <w:rsid w:val="692C1270"/>
    <w:rsid w:val="692FD98E"/>
    <w:rsid w:val="69346188"/>
    <w:rsid w:val="69383D8A"/>
    <w:rsid w:val="6938D8B3"/>
    <w:rsid w:val="693D1742"/>
    <w:rsid w:val="694040E9"/>
    <w:rsid w:val="69414200"/>
    <w:rsid w:val="695711BF"/>
    <w:rsid w:val="69685ECC"/>
    <w:rsid w:val="6970CFAB"/>
    <w:rsid w:val="6972AD4F"/>
    <w:rsid w:val="69764123"/>
    <w:rsid w:val="697B8777"/>
    <w:rsid w:val="697E8126"/>
    <w:rsid w:val="6987BF85"/>
    <w:rsid w:val="69899EF6"/>
    <w:rsid w:val="698BC2CB"/>
    <w:rsid w:val="698F8D7E"/>
    <w:rsid w:val="698FACD3"/>
    <w:rsid w:val="6991455A"/>
    <w:rsid w:val="699470A5"/>
    <w:rsid w:val="6994EF7B"/>
    <w:rsid w:val="69975BA0"/>
    <w:rsid w:val="6997707F"/>
    <w:rsid w:val="699CA003"/>
    <w:rsid w:val="69A71CE0"/>
    <w:rsid w:val="69AC58C1"/>
    <w:rsid w:val="69AFF2D3"/>
    <w:rsid w:val="69BB8F70"/>
    <w:rsid w:val="69C1F337"/>
    <w:rsid w:val="69C81A70"/>
    <w:rsid w:val="69D92CD1"/>
    <w:rsid w:val="69D9B203"/>
    <w:rsid w:val="69DC974A"/>
    <w:rsid w:val="69E1219F"/>
    <w:rsid w:val="69E887AF"/>
    <w:rsid w:val="69EDF60A"/>
    <w:rsid w:val="69F60D26"/>
    <w:rsid w:val="6A0187A0"/>
    <w:rsid w:val="6A2949C1"/>
    <w:rsid w:val="6A2F45BC"/>
    <w:rsid w:val="6A3C3D78"/>
    <w:rsid w:val="6A5D07E2"/>
    <w:rsid w:val="6A6EE6F2"/>
    <w:rsid w:val="6A7FB67D"/>
    <w:rsid w:val="6A83AD00"/>
    <w:rsid w:val="6A844674"/>
    <w:rsid w:val="6A85354E"/>
    <w:rsid w:val="6A88B250"/>
    <w:rsid w:val="6A94BCAC"/>
    <w:rsid w:val="6A980B1B"/>
    <w:rsid w:val="6A9EB01B"/>
    <w:rsid w:val="6AA82DF7"/>
    <w:rsid w:val="6AC54D61"/>
    <w:rsid w:val="6AD541D6"/>
    <w:rsid w:val="6AD684B8"/>
    <w:rsid w:val="6ADA425A"/>
    <w:rsid w:val="6AE21A7E"/>
    <w:rsid w:val="6AE74105"/>
    <w:rsid w:val="6AFA48A1"/>
    <w:rsid w:val="6AFB715E"/>
    <w:rsid w:val="6AFDA530"/>
    <w:rsid w:val="6AFE0FC8"/>
    <w:rsid w:val="6B0B76F6"/>
    <w:rsid w:val="6B0BCF73"/>
    <w:rsid w:val="6B186C7B"/>
    <w:rsid w:val="6B1ABCFB"/>
    <w:rsid w:val="6B1FD303"/>
    <w:rsid w:val="6B222FD4"/>
    <w:rsid w:val="6B2A3DB3"/>
    <w:rsid w:val="6B3E7047"/>
    <w:rsid w:val="6B41ABFE"/>
    <w:rsid w:val="6B43DF09"/>
    <w:rsid w:val="6B4536DF"/>
    <w:rsid w:val="6B4D045C"/>
    <w:rsid w:val="6B4D48C8"/>
    <w:rsid w:val="6B71860B"/>
    <w:rsid w:val="6B759586"/>
    <w:rsid w:val="6B76BA8A"/>
    <w:rsid w:val="6B7886B4"/>
    <w:rsid w:val="6B7EC19D"/>
    <w:rsid w:val="6B8B93EC"/>
    <w:rsid w:val="6B90864F"/>
    <w:rsid w:val="6B9409A9"/>
    <w:rsid w:val="6B997651"/>
    <w:rsid w:val="6B9B443B"/>
    <w:rsid w:val="6BAFCDD8"/>
    <w:rsid w:val="6BB70140"/>
    <w:rsid w:val="6BBD323C"/>
    <w:rsid w:val="6BC30DD9"/>
    <w:rsid w:val="6BD402C8"/>
    <w:rsid w:val="6BDCF53B"/>
    <w:rsid w:val="6BE53770"/>
    <w:rsid w:val="6BE684F8"/>
    <w:rsid w:val="6BEE25E7"/>
    <w:rsid w:val="6BF0F148"/>
    <w:rsid w:val="6BF98CB8"/>
    <w:rsid w:val="6C000113"/>
    <w:rsid w:val="6C0E6C4A"/>
    <w:rsid w:val="6C0E9A74"/>
    <w:rsid w:val="6C118D3A"/>
    <w:rsid w:val="6C176851"/>
    <w:rsid w:val="6C1E25D0"/>
    <w:rsid w:val="6C2509DF"/>
    <w:rsid w:val="6C305139"/>
    <w:rsid w:val="6C46E1B2"/>
    <w:rsid w:val="6C4CA41F"/>
    <w:rsid w:val="6C70BF55"/>
    <w:rsid w:val="6C8A5580"/>
    <w:rsid w:val="6C8CB4FB"/>
    <w:rsid w:val="6C99C068"/>
    <w:rsid w:val="6C9F958E"/>
    <w:rsid w:val="6CAD651F"/>
    <w:rsid w:val="6CC761AC"/>
    <w:rsid w:val="6CCF21E9"/>
    <w:rsid w:val="6CDA6123"/>
    <w:rsid w:val="6CEF10B4"/>
    <w:rsid w:val="6CF15125"/>
    <w:rsid w:val="6CFEFB0C"/>
    <w:rsid w:val="6D0F1C52"/>
    <w:rsid w:val="6D115D5D"/>
    <w:rsid w:val="6D1418DB"/>
    <w:rsid w:val="6D152413"/>
    <w:rsid w:val="6D17A57E"/>
    <w:rsid w:val="6D1A1147"/>
    <w:rsid w:val="6D1DBD78"/>
    <w:rsid w:val="6D2B7A93"/>
    <w:rsid w:val="6D2DC7E1"/>
    <w:rsid w:val="6D2E3285"/>
    <w:rsid w:val="6D360995"/>
    <w:rsid w:val="6D391F34"/>
    <w:rsid w:val="6D50EDE3"/>
    <w:rsid w:val="6D52BFD9"/>
    <w:rsid w:val="6D58C24A"/>
    <w:rsid w:val="6D68F974"/>
    <w:rsid w:val="6D6A4F9C"/>
    <w:rsid w:val="6D6ABA6B"/>
    <w:rsid w:val="6D6F014E"/>
    <w:rsid w:val="6D713B57"/>
    <w:rsid w:val="6D739529"/>
    <w:rsid w:val="6D7AEAC3"/>
    <w:rsid w:val="6D81256F"/>
    <w:rsid w:val="6D819AFE"/>
    <w:rsid w:val="6D879A61"/>
    <w:rsid w:val="6D89BA91"/>
    <w:rsid w:val="6D8AC7A5"/>
    <w:rsid w:val="6D8F1CD8"/>
    <w:rsid w:val="6D95B42A"/>
    <w:rsid w:val="6DA1416A"/>
    <w:rsid w:val="6DAE4CBC"/>
    <w:rsid w:val="6DC2A9E3"/>
    <w:rsid w:val="6DC5B3E5"/>
    <w:rsid w:val="6DD12D92"/>
    <w:rsid w:val="6DEEEDE1"/>
    <w:rsid w:val="6DF10477"/>
    <w:rsid w:val="6DF47E88"/>
    <w:rsid w:val="6DFB64DA"/>
    <w:rsid w:val="6DFC86A4"/>
    <w:rsid w:val="6E023EAD"/>
    <w:rsid w:val="6E074E25"/>
    <w:rsid w:val="6E08C445"/>
    <w:rsid w:val="6E09D908"/>
    <w:rsid w:val="6E1E6D8A"/>
    <w:rsid w:val="6E22757F"/>
    <w:rsid w:val="6E24FE2E"/>
    <w:rsid w:val="6E45FF96"/>
    <w:rsid w:val="6E468B9E"/>
    <w:rsid w:val="6E525EC5"/>
    <w:rsid w:val="6E58A6D5"/>
    <w:rsid w:val="6E5D14EB"/>
    <w:rsid w:val="6E63EF17"/>
    <w:rsid w:val="6E63F1C5"/>
    <w:rsid w:val="6E65F249"/>
    <w:rsid w:val="6E6CE69C"/>
    <w:rsid w:val="6E8B437A"/>
    <w:rsid w:val="6E8C9C8D"/>
    <w:rsid w:val="6E95852E"/>
    <w:rsid w:val="6E976E5E"/>
    <w:rsid w:val="6E983C2A"/>
    <w:rsid w:val="6E9AC2AF"/>
    <w:rsid w:val="6EA4CE18"/>
    <w:rsid w:val="6EA739F9"/>
    <w:rsid w:val="6EABBB9B"/>
    <w:rsid w:val="6EADB6B6"/>
    <w:rsid w:val="6EAF05B7"/>
    <w:rsid w:val="6EB1109F"/>
    <w:rsid w:val="6EC20E48"/>
    <w:rsid w:val="6ECC2E5C"/>
    <w:rsid w:val="6ED9364D"/>
    <w:rsid w:val="6ED9C0EC"/>
    <w:rsid w:val="6EEF4EE9"/>
    <w:rsid w:val="6EF08A13"/>
    <w:rsid w:val="6EF9179B"/>
    <w:rsid w:val="6EF9C410"/>
    <w:rsid w:val="6EFE1603"/>
    <w:rsid w:val="6F051DC2"/>
    <w:rsid w:val="6F0721BC"/>
    <w:rsid w:val="6F176DD9"/>
    <w:rsid w:val="6F22918D"/>
    <w:rsid w:val="6F32A44D"/>
    <w:rsid w:val="6F3E7F52"/>
    <w:rsid w:val="6F3F5749"/>
    <w:rsid w:val="6F3FF79A"/>
    <w:rsid w:val="6F498DEB"/>
    <w:rsid w:val="6F4C0431"/>
    <w:rsid w:val="6F574AEA"/>
    <w:rsid w:val="6F57ADEC"/>
    <w:rsid w:val="6F5DA32D"/>
    <w:rsid w:val="6F69E802"/>
    <w:rsid w:val="6F6C8B6B"/>
    <w:rsid w:val="6F9DE8B7"/>
    <w:rsid w:val="6F9EDAC4"/>
    <w:rsid w:val="6FAE0B9B"/>
    <w:rsid w:val="6FBB1604"/>
    <w:rsid w:val="6FC9BDB9"/>
    <w:rsid w:val="6FD17B6E"/>
    <w:rsid w:val="6FD44691"/>
    <w:rsid w:val="6FE28367"/>
    <w:rsid w:val="6FE35394"/>
    <w:rsid w:val="6FF64339"/>
    <w:rsid w:val="7003FA0E"/>
    <w:rsid w:val="700899D5"/>
    <w:rsid w:val="700A5F11"/>
    <w:rsid w:val="700DE75C"/>
    <w:rsid w:val="70104E47"/>
    <w:rsid w:val="701B0A99"/>
    <w:rsid w:val="7036C20E"/>
    <w:rsid w:val="703FCDF1"/>
    <w:rsid w:val="7042827A"/>
    <w:rsid w:val="7051F31E"/>
    <w:rsid w:val="7054F7D3"/>
    <w:rsid w:val="7056B922"/>
    <w:rsid w:val="705DCC67"/>
    <w:rsid w:val="705F9D8E"/>
    <w:rsid w:val="706265DF"/>
    <w:rsid w:val="7062841E"/>
    <w:rsid w:val="70634423"/>
    <w:rsid w:val="7067D4B1"/>
    <w:rsid w:val="70829A60"/>
    <w:rsid w:val="7089E66B"/>
    <w:rsid w:val="708F4541"/>
    <w:rsid w:val="70958AC8"/>
    <w:rsid w:val="70964486"/>
    <w:rsid w:val="70A32A4A"/>
    <w:rsid w:val="70A40E96"/>
    <w:rsid w:val="70BFB310"/>
    <w:rsid w:val="70C0FCCB"/>
    <w:rsid w:val="70C1F326"/>
    <w:rsid w:val="70F32832"/>
    <w:rsid w:val="70F741C3"/>
    <w:rsid w:val="70FA0C55"/>
    <w:rsid w:val="70FA36C9"/>
    <w:rsid w:val="70FA7728"/>
    <w:rsid w:val="70FC244F"/>
    <w:rsid w:val="70FE4209"/>
    <w:rsid w:val="71038A59"/>
    <w:rsid w:val="710A96D9"/>
    <w:rsid w:val="710C8559"/>
    <w:rsid w:val="71313539"/>
    <w:rsid w:val="71351466"/>
    <w:rsid w:val="71491E73"/>
    <w:rsid w:val="715158EE"/>
    <w:rsid w:val="7151B829"/>
    <w:rsid w:val="716278D5"/>
    <w:rsid w:val="7165EBBE"/>
    <w:rsid w:val="7174A284"/>
    <w:rsid w:val="7178DBFF"/>
    <w:rsid w:val="717C7DE9"/>
    <w:rsid w:val="7181F0AD"/>
    <w:rsid w:val="71851214"/>
    <w:rsid w:val="718C6ECC"/>
    <w:rsid w:val="718CD8BD"/>
    <w:rsid w:val="71960BA8"/>
    <w:rsid w:val="719750BB"/>
    <w:rsid w:val="719A538F"/>
    <w:rsid w:val="719CE0D0"/>
    <w:rsid w:val="71A2EB24"/>
    <w:rsid w:val="71A30AE5"/>
    <w:rsid w:val="71ADE00F"/>
    <w:rsid w:val="71B0AC30"/>
    <w:rsid w:val="71C0BF16"/>
    <w:rsid w:val="71CDCE10"/>
    <w:rsid w:val="71CE967A"/>
    <w:rsid w:val="71D1B9A8"/>
    <w:rsid w:val="71D40680"/>
    <w:rsid w:val="71F0272E"/>
    <w:rsid w:val="71F43061"/>
    <w:rsid w:val="71F7C574"/>
    <w:rsid w:val="71FD9552"/>
    <w:rsid w:val="71FDFE8F"/>
    <w:rsid w:val="72269545"/>
    <w:rsid w:val="7226C179"/>
    <w:rsid w:val="722A4069"/>
    <w:rsid w:val="72422FD6"/>
    <w:rsid w:val="72426D71"/>
    <w:rsid w:val="72426F49"/>
    <w:rsid w:val="7243C342"/>
    <w:rsid w:val="725A4810"/>
    <w:rsid w:val="72635C93"/>
    <w:rsid w:val="72636191"/>
    <w:rsid w:val="7265A932"/>
    <w:rsid w:val="726B35E5"/>
    <w:rsid w:val="72734415"/>
    <w:rsid w:val="72784B54"/>
    <w:rsid w:val="727CAE05"/>
    <w:rsid w:val="727D35CB"/>
    <w:rsid w:val="7287BFFC"/>
    <w:rsid w:val="7288274A"/>
    <w:rsid w:val="72892496"/>
    <w:rsid w:val="728FD26D"/>
    <w:rsid w:val="729A3639"/>
    <w:rsid w:val="729EB029"/>
    <w:rsid w:val="72B1878A"/>
    <w:rsid w:val="72B28763"/>
    <w:rsid w:val="72B56169"/>
    <w:rsid w:val="72BF48D5"/>
    <w:rsid w:val="72C165D4"/>
    <w:rsid w:val="72C458A3"/>
    <w:rsid w:val="72D031BA"/>
    <w:rsid w:val="72D6D3C2"/>
    <w:rsid w:val="72DA8C76"/>
    <w:rsid w:val="72F28529"/>
    <w:rsid w:val="72F9A160"/>
    <w:rsid w:val="72FE779D"/>
    <w:rsid w:val="7303084C"/>
    <w:rsid w:val="7305D36A"/>
    <w:rsid w:val="73099C5A"/>
    <w:rsid w:val="7316E0DE"/>
    <w:rsid w:val="731CD299"/>
    <w:rsid w:val="731D069F"/>
    <w:rsid w:val="7329ED62"/>
    <w:rsid w:val="732BBFE6"/>
    <w:rsid w:val="7331C1A0"/>
    <w:rsid w:val="73325102"/>
    <w:rsid w:val="73367F4A"/>
    <w:rsid w:val="73382195"/>
    <w:rsid w:val="7339F2EF"/>
    <w:rsid w:val="734F246F"/>
    <w:rsid w:val="7359F5FA"/>
    <w:rsid w:val="735B5DD1"/>
    <w:rsid w:val="7369EE76"/>
    <w:rsid w:val="7373F75B"/>
    <w:rsid w:val="7375D27C"/>
    <w:rsid w:val="73785807"/>
    <w:rsid w:val="737CFE52"/>
    <w:rsid w:val="73892562"/>
    <w:rsid w:val="7392B1E3"/>
    <w:rsid w:val="739393F3"/>
    <w:rsid w:val="7398C990"/>
    <w:rsid w:val="73AF9C4C"/>
    <w:rsid w:val="73B21CFD"/>
    <w:rsid w:val="73C0A6A0"/>
    <w:rsid w:val="73C9393B"/>
    <w:rsid w:val="73CEA776"/>
    <w:rsid w:val="73D3F59C"/>
    <w:rsid w:val="73FB8667"/>
    <w:rsid w:val="73FE3B7C"/>
    <w:rsid w:val="7408A9AD"/>
    <w:rsid w:val="740C4A4D"/>
    <w:rsid w:val="74190919"/>
    <w:rsid w:val="7420E864"/>
    <w:rsid w:val="7429FB79"/>
    <w:rsid w:val="743B1321"/>
    <w:rsid w:val="743F33A9"/>
    <w:rsid w:val="744915C6"/>
    <w:rsid w:val="744C5123"/>
    <w:rsid w:val="744FEC70"/>
    <w:rsid w:val="745F820D"/>
    <w:rsid w:val="74682F67"/>
    <w:rsid w:val="747978FE"/>
    <w:rsid w:val="7483D230"/>
    <w:rsid w:val="749A0F9D"/>
    <w:rsid w:val="749A53A3"/>
    <w:rsid w:val="74B0B6C6"/>
    <w:rsid w:val="74B100AC"/>
    <w:rsid w:val="74B20EBF"/>
    <w:rsid w:val="74B32045"/>
    <w:rsid w:val="74BB9C0C"/>
    <w:rsid w:val="74C22B6E"/>
    <w:rsid w:val="74C290C8"/>
    <w:rsid w:val="74CC5CC4"/>
    <w:rsid w:val="74F2D5DC"/>
    <w:rsid w:val="74F51132"/>
    <w:rsid w:val="7504DD26"/>
    <w:rsid w:val="7507A1F5"/>
    <w:rsid w:val="7509F420"/>
    <w:rsid w:val="750AC036"/>
    <w:rsid w:val="7513D83C"/>
    <w:rsid w:val="75141BA1"/>
    <w:rsid w:val="7518F25D"/>
    <w:rsid w:val="751D7709"/>
    <w:rsid w:val="752B3620"/>
    <w:rsid w:val="753CDB08"/>
    <w:rsid w:val="753E07A2"/>
    <w:rsid w:val="753F0D84"/>
    <w:rsid w:val="754A0BB1"/>
    <w:rsid w:val="754B762F"/>
    <w:rsid w:val="75581061"/>
    <w:rsid w:val="75624B1B"/>
    <w:rsid w:val="75687D2F"/>
    <w:rsid w:val="756A0A8F"/>
    <w:rsid w:val="757028B4"/>
    <w:rsid w:val="75712EB1"/>
    <w:rsid w:val="7584A373"/>
    <w:rsid w:val="758B2870"/>
    <w:rsid w:val="759060E5"/>
    <w:rsid w:val="75915693"/>
    <w:rsid w:val="7595870C"/>
    <w:rsid w:val="759A24A2"/>
    <w:rsid w:val="759A5D7B"/>
    <w:rsid w:val="75A355BA"/>
    <w:rsid w:val="75A6EE28"/>
    <w:rsid w:val="75ACE062"/>
    <w:rsid w:val="75AD5E9F"/>
    <w:rsid w:val="75D29C3C"/>
    <w:rsid w:val="75D846DC"/>
    <w:rsid w:val="75D8DE3F"/>
    <w:rsid w:val="75EED589"/>
    <w:rsid w:val="75F17DE5"/>
    <w:rsid w:val="75F85AF7"/>
    <w:rsid w:val="75FE0E10"/>
    <w:rsid w:val="75FFAD56"/>
    <w:rsid w:val="761A513B"/>
    <w:rsid w:val="761B2CE5"/>
    <w:rsid w:val="761FA71D"/>
    <w:rsid w:val="7628922C"/>
    <w:rsid w:val="762E650B"/>
    <w:rsid w:val="76499922"/>
    <w:rsid w:val="764BF60D"/>
    <w:rsid w:val="7651CDDE"/>
    <w:rsid w:val="76606A24"/>
    <w:rsid w:val="766675EE"/>
    <w:rsid w:val="766C1FC8"/>
    <w:rsid w:val="766DA2F2"/>
    <w:rsid w:val="7673DF20"/>
    <w:rsid w:val="767B7746"/>
    <w:rsid w:val="7696E324"/>
    <w:rsid w:val="76A8E4E7"/>
    <w:rsid w:val="76A945CD"/>
    <w:rsid w:val="76AF60D7"/>
    <w:rsid w:val="76B30CB2"/>
    <w:rsid w:val="76B4B06A"/>
    <w:rsid w:val="76B5BB71"/>
    <w:rsid w:val="76C100EB"/>
    <w:rsid w:val="76C1EA48"/>
    <w:rsid w:val="76C4EAEC"/>
    <w:rsid w:val="76D10C99"/>
    <w:rsid w:val="76D14096"/>
    <w:rsid w:val="76D71DBF"/>
    <w:rsid w:val="76D9D9C1"/>
    <w:rsid w:val="76DF509F"/>
    <w:rsid w:val="76FE25F5"/>
    <w:rsid w:val="7703E63F"/>
    <w:rsid w:val="77101E1C"/>
    <w:rsid w:val="7713DF61"/>
    <w:rsid w:val="772A48C8"/>
    <w:rsid w:val="7735C998"/>
    <w:rsid w:val="7746DB54"/>
    <w:rsid w:val="774D41CD"/>
    <w:rsid w:val="7750CD83"/>
    <w:rsid w:val="77519FF8"/>
    <w:rsid w:val="77649290"/>
    <w:rsid w:val="776BAF46"/>
    <w:rsid w:val="776C02B9"/>
    <w:rsid w:val="776D7BF6"/>
    <w:rsid w:val="77834DA0"/>
    <w:rsid w:val="778369AA"/>
    <w:rsid w:val="77874505"/>
    <w:rsid w:val="77878E7A"/>
    <w:rsid w:val="778C306D"/>
    <w:rsid w:val="77A6EC03"/>
    <w:rsid w:val="77A81B23"/>
    <w:rsid w:val="77AD1B92"/>
    <w:rsid w:val="77BB59C3"/>
    <w:rsid w:val="77C4FEC5"/>
    <w:rsid w:val="77C85DB3"/>
    <w:rsid w:val="77C91A2E"/>
    <w:rsid w:val="77CA73B9"/>
    <w:rsid w:val="77E35A54"/>
    <w:rsid w:val="77E4F6C4"/>
    <w:rsid w:val="77EEF137"/>
    <w:rsid w:val="77F026A7"/>
    <w:rsid w:val="77F9CF34"/>
    <w:rsid w:val="77FFAF65"/>
    <w:rsid w:val="780657FE"/>
    <w:rsid w:val="7806CFB8"/>
    <w:rsid w:val="7807BF11"/>
    <w:rsid w:val="780C60B3"/>
    <w:rsid w:val="781C15CC"/>
    <w:rsid w:val="78256D42"/>
    <w:rsid w:val="7825A5EE"/>
    <w:rsid w:val="7829C24F"/>
    <w:rsid w:val="782CD5C6"/>
    <w:rsid w:val="782E19E9"/>
    <w:rsid w:val="782E5EFB"/>
    <w:rsid w:val="782FD81A"/>
    <w:rsid w:val="7837A558"/>
    <w:rsid w:val="7841EB84"/>
    <w:rsid w:val="78443221"/>
    <w:rsid w:val="784F68C8"/>
    <w:rsid w:val="784F6EC3"/>
    <w:rsid w:val="785BACF7"/>
    <w:rsid w:val="785D69A2"/>
    <w:rsid w:val="7860D8C3"/>
    <w:rsid w:val="7861C9D7"/>
    <w:rsid w:val="78621E2D"/>
    <w:rsid w:val="786BF1DC"/>
    <w:rsid w:val="7876F4F7"/>
    <w:rsid w:val="787804DD"/>
    <w:rsid w:val="7882C4FA"/>
    <w:rsid w:val="788FCB91"/>
    <w:rsid w:val="78906D29"/>
    <w:rsid w:val="7898FBF2"/>
    <w:rsid w:val="789FCC7E"/>
    <w:rsid w:val="78A8A1C5"/>
    <w:rsid w:val="78AF578C"/>
    <w:rsid w:val="78B7D6E9"/>
    <w:rsid w:val="78B8B10C"/>
    <w:rsid w:val="78C169A9"/>
    <w:rsid w:val="78C91C00"/>
    <w:rsid w:val="78D5F702"/>
    <w:rsid w:val="78E0A918"/>
    <w:rsid w:val="78E3CA2F"/>
    <w:rsid w:val="78E71A43"/>
    <w:rsid w:val="78EDB2B6"/>
    <w:rsid w:val="78FFE501"/>
    <w:rsid w:val="79060B3E"/>
    <w:rsid w:val="7909A060"/>
    <w:rsid w:val="7909AA5C"/>
    <w:rsid w:val="792440B2"/>
    <w:rsid w:val="793E9E54"/>
    <w:rsid w:val="793FAB0F"/>
    <w:rsid w:val="794C85C8"/>
    <w:rsid w:val="79559216"/>
    <w:rsid w:val="795A11D9"/>
    <w:rsid w:val="795F8CBD"/>
    <w:rsid w:val="796DDE08"/>
    <w:rsid w:val="7977228F"/>
    <w:rsid w:val="797B92C5"/>
    <w:rsid w:val="7981C567"/>
    <w:rsid w:val="7982C184"/>
    <w:rsid w:val="79937CB2"/>
    <w:rsid w:val="799B5A7A"/>
    <w:rsid w:val="79A852C2"/>
    <w:rsid w:val="79A8EFD2"/>
    <w:rsid w:val="79BD5BC7"/>
    <w:rsid w:val="79C6A17B"/>
    <w:rsid w:val="79CDD14A"/>
    <w:rsid w:val="79CE7DEB"/>
    <w:rsid w:val="79D32654"/>
    <w:rsid w:val="79D4A441"/>
    <w:rsid w:val="79D8C262"/>
    <w:rsid w:val="79DAABD7"/>
    <w:rsid w:val="79DDC331"/>
    <w:rsid w:val="79E54B2B"/>
    <w:rsid w:val="79F15B89"/>
    <w:rsid w:val="7A00F6EE"/>
    <w:rsid w:val="7A04C37E"/>
    <w:rsid w:val="7A058B0E"/>
    <w:rsid w:val="7A10E1CC"/>
    <w:rsid w:val="7A10E300"/>
    <w:rsid w:val="7A130E26"/>
    <w:rsid w:val="7A1665C5"/>
    <w:rsid w:val="7A2062A3"/>
    <w:rsid w:val="7A29881A"/>
    <w:rsid w:val="7A3B5401"/>
    <w:rsid w:val="7A437DE9"/>
    <w:rsid w:val="7A47E9A8"/>
    <w:rsid w:val="7A571D19"/>
    <w:rsid w:val="7A572107"/>
    <w:rsid w:val="7A5D581D"/>
    <w:rsid w:val="7A6A7A65"/>
    <w:rsid w:val="7A73AB5C"/>
    <w:rsid w:val="7A764774"/>
    <w:rsid w:val="7A77CA75"/>
    <w:rsid w:val="7A787411"/>
    <w:rsid w:val="7A850771"/>
    <w:rsid w:val="7A8F1EAA"/>
    <w:rsid w:val="7A91A471"/>
    <w:rsid w:val="7AA42944"/>
    <w:rsid w:val="7AA44DF4"/>
    <w:rsid w:val="7AA7F3AF"/>
    <w:rsid w:val="7AA868BE"/>
    <w:rsid w:val="7AB83A55"/>
    <w:rsid w:val="7ABD2343"/>
    <w:rsid w:val="7ABE97A6"/>
    <w:rsid w:val="7ABEE500"/>
    <w:rsid w:val="7AC17CCA"/>
    <w:rsid w:val="7AD6D5C4"/>
    <w:rsid w:val="7AE15C16"/>
    <w:rsid w:val="7AFAC274"/>
    <w:rsid w:val="7AFC0122"/>
    <w:rsid w:val="7AFFC31D"/>
    <w:rsid w:val="7B09F54E"/>
    <w:rsid w:val="7B10EBCE"/>
    <w:rsid w:val="7B1D0749"/>
    <w:rsid w:val="7B1E240B"/>
    <w:rsid w:val="7B20B11B"/>
    <w:rsid w:val="7B21E24C"/>
    <w:rsid w:val="7B26DE5E"/>
    <w:rsid w:val="7B33D8EE"/>
    <w:rsid w:val="7B3523DC"/>
    <w:rsid w:val="7B3875E8"/>
    <w:rsid w:val="7B4C9285"/>
    <w:rsid w:val="7B539484"/>
    <w:rsid w:val="7B550E42"/>
    <w:rsid w:val="7B5B84C8"/>
    <w:rsid w:val="7B5DF978"/>
    <w:rsid w:val="7B5F34F1"/>
    <w:rsid w:val="7B6E3079"/>
    <w:rsid w:val="7B73F1DA"/>
    <w:rsid w:val="7B7CAEBE"/>
    <w:rsid w:val="7B87DCAF"/>
    <w:rsid w:val="7B955766"/>
    <w:rsid w:val="7B97D712"/>
    <w:rsid w:val="7B9ED793"/>
    <w:rsid w:val="7BA16175"/>
    <w:rsid w:val="7BA38A74"/>
    <w:rsid w:val="7BA8AD67"/>
    <w:rsid w:val="7BAA7C63"/>
    <w:rsid w:val="7BAB6679"/>
    <w:rsid w:val="7BAD3C33"/>
    <w:rsid w:val="7BAF4555"/>
    <w:rsid w:val="7BB17282"/>
    <w:rsid w:val="7BB6D022"/>
    <w:rsid w:val="7BBAC234"/>
    <w:rsid w:val="7BCAC553"/>
    <w:rsid w:val="7BD46BC3"/>
    <w:rsid w:val="7BD4B76B"/>
    <w:rsid w:val="7BDFC8F4"/>
    <w:rsid w:val="7BE7ECA7"/>
    <w:rsid w:val="7BEB811F"/>
    <w:rsid w:val="7C006DC1"/>
    <w:rsid w:val="7C039CDA"/>
    <w:rsid w:val="7C058B00"/>
    <w:rsid w:val="7C07BD4E"/>
    <w:rsid w:val="7C16918D"/>
    <w:rsid w:val="7C22F729"/>
    <w:rsid w:val="7C2B8941"/>
    <w:rsid w:val="7C313518"/>
    <w:rsid w:val="7C49DEB7"/>
    <w:rsid w:val="7C4B169A"/>
    <w:rsid w:val="7C512A71"/>
    <w:rsid w:val="7C54F629"/>
    <w:rsid w:val="7C54FDC6"/>
    <w:rsid w:val="7C5756C6"/>
    <w:rsid w:val="7C5C4D10"/>
    <w:rsid w:val="7C5CA464"/>
    <w:rsid w:val="7C632D64"/>
    <w:rsid w:val="7C665440"/>
    <w:rsid w:val="7C790119"/>
    <w:rsid w:val="7C8E261D"/>
    <w:rsid w:val="7C9C0293"/>
    <w:rsid w:val="7C9C7730"/>
    <w:rsid w:val="7CA3CF7C"/>
    <w:rsid w:val="7CAB6B43"/>
    <w:rsid w:val="7CAE90EF"/>
    <w:rsid w:val="7CB35DDD"/>
    <w:rsid w:val="7CB3FADD"/>
    <w:rsid w:val="7CBB3583"/>
    <w:rsid w:val="7CC1FE65"/>
    <w:rsid w:val="7CC4EE81"/>
    <w:rsid w:val="7CC53533"/>
    <w:rsid w:val="7CC86906"/>
    <w:rsid w:val="7CCAA282"/>
    <w:rsid w:val="7CCECDA1"/>
    <w:rsid w:val="7CD0938B"/>
    <w:rsid w:val="7CD5DF52"/>
    <w:rsid w:val="7CFED8C5"/>
    <w:rsid w:val="7D0E4D06"/>
    <w:rsid w:val="7D1CA4AC"/>
    <w:rsid w:val="7D24F204"/>
    <w:rsid w:val="7D265DF5"/>
    <w:rsid w:val="7D28E0A0"/>
    <w:rsid w:val="7D3F5FEB"/>
    <w:rsid w:val="7D44F471"/>
    <w:rsid w:val="7D4FC93C"/>
    <w:rsid w:val="7D525C1E"/>
    <w:rsid w:val="7D57FA38"/>
    <w:rsid w:val="7D5BD8B8"/>
    <w:rsid w:val="7D618E5F"/>
    <w:rsid w:val="7D653E07"/>
    <w:rsid w:val="7D656E8C"/>
    <w:rsid w:val="7D6EA466"/>
    <w:rsid w:val="7D7058EF"/>
    <w:rsid w:val="7D778A6C"/>
    <w:rsid w:val="7D7913C6"/>
    <w:rsid w:val="7D7DB883"/>
    <w:rsid w:val="7D858180"/>
    <w:rsid w:val="7D87A15E"/>
    <w:rsid w:val="7D89A062"/>
    <w:rsid w:val="7D8E707C"/>
    <w:rsid w:val="7D989942"/>
    <w:rsid w:val="7DAE5C26"/>
    <w:rsid w:val="7DB7C2D3"/>
    <w:rsid w:val="7DBA85D4"/>
    <w:rsid w:val="7DC3744C"/>
    <w:rsid w:val="7DC7A380"/>
    <w:rsid w:val="7DCDCA26"/>
    <w:rsid w:val="7DD12965"/>
    <w:rsid w:val="7DD304EC"/>
    <w:rsid w:val="7DD7EBC3"/>
    <w:rsid w:val="7DE1A7F5"/>
    <w:rsid w:val="7DE84042"/>
    <w:rsid w:val="7DEB5990"/>
    <w:rsid w:val="7DEC9720"/>
    <w:rsid w:val="7DEF6297"/>
    <w:rsid w:val="7DF2A289"/>
    <w:rsid w:val="7DF5400E"/>
    <w:rsid w:val="7DF68E17"/>
    <w:rsid w:val="7DF783D5"/>
    <w:rsid w:val="7E088906"/>
    <w:rsid w:val="7E110BC1"/>
    <w:rsid w:val="7E18F903"/>
    <w:rsid w:val="7E21BAC4"/>
    <w:rsid w:val="7E281FD2"/>
    <w:rsid w:val="7E281FEF"/>
    <w:rsid w:val="7E2D70B5"/>
    <w:rsid w:val="7E337245"/>
    <w:rsid w:val="7E3555AE"/>
    <w:rsid w:val="7E3A6158"/>
    <w:rsid w:val="7E3AB7A0"/>
    <w:rsid w:val="7E4FB64D"/>
    <w:rsid w:val="7E4FCC0A"/>
    <w:rsid w:val="7E6353FE"/>
    <w:rsid w:val="7E67B851"/>
    <w:rsid w:val="7E6A94F7"/>
    <w:rsid w:val="7E6BD156"/>
    <w:rsid w:val="7E6C59E0"/>
    <w:rsid w:val="7E81694A"/>
    <w:rsid w:val="7E8404C6"/>
    <w:rsid w:val="7E852EAE"/>
    <w:rsid w:val="7E8632CB"/>
    <w:rsid w:val="7E93C23C"/>
    <w:rsid w:val="7E982960"/>
    <w:rsid w:val="7E9EFA79"/>
    <w:rsid w:val="7EB65E7F"/>
    <w:rsid w:val="7EBBA889"/>
    <w:rsid w:val="7EC445F6"/>
    <w:rsid w:val="7ECB795E"/>
    <w:rsid w:val="7ECC87A9"/>
    <w:rsid w:val="7ED0B430"/>
    <w:rsid w:val="7ED1D8C4"/>
    <w:rsid w:val="7EE9068D"/>
    <w:rsid w:val="7EF782CD"/>
    <w:rsid w:val="7EF79B0C"/>
    <w:rsid w:val="7F015E67"/>
    <w:rsid w:val="7F0E6660"/>
    <w:rsid w:val="7F0EACC9"/>
    <w:rsid w:val="7F1ACD77"/>
    <w:rsid w:val="7F21108C"/>
    <w:rsid w:val="7F259D15"/>
    <w:rsid w:val="7F2FB707"/>
    <w:rsid w:val="7F440C92"/>
    <w:rsid w:val="7F47A884"/>
    <w:rsid w:val="7F4C1D9E"/>
    <w:rsid w:val="7F4C5687"/>
    <w:rsid w:val="7F5EEC1B"/>
    <w:rsid w:val="7F5FDD51"/>
    <w:rsid w:val="7F701B83"/>
    <w:rsid w:val="7F711723"/>
    <w:rsid w:val="7F7BFF20"/>
    <w:rsid w:val="7F7C0A68"/>
    <w:rsid w:val="7F7EF039"/>
    <w:rsid w:val="7F815B50"/>
    <w:rsid w:val="7F85CA3D"/>
    <w:rsid w:val="7F890671"/>
    <w:rsid w:val="7F8BAEF2"/>
    <w:rsid w:val="7F90A2AA"/>
    <w:rsid w:val="7F92F83C"/>
    <w:rsid w:val="7F9E3306"/>
    <w:rsid w:val="7FA2158F"/>
    <w:rsid w:val="7FAB1A77"/>
    <w:rsid w:val="7FABFAE5"/>
    <w:rsid w:val="7FAD66B5"/>
    <w:rsid w:val="7FAF2CE3"/>
    <w:rsid w:val="7FAF4C3C"/>
    <w:rsid w:val="7FB61B46"/>
    <w:rsid w:val="7FB7CD05"/>
    <w:rsid w:val="7FB81810"/>
    <w:rsid w:val="7FBFE070"/>
    <w:rsid w:val="7FC19CE5"/>
    <w:rsid w:val="7FD0EFB0"/>
    <w:rsid w:val="7FD179D4"/>
    <w:rsid w:val="7FD5EC61"/>
    <w:rsid w:val="7FD8C4F8"/>
    <w:rsid w:val="7FDFD0E6"/>
    <w:rsid w:val="7FE390E7"/>
    <w:rsid w:val="7FF797C1"/>
    <w:rsid w:val="7FF80D4B"/>
    <w:rsid w:val="7FF96C0A"/>
    <w:rsid w:val="7FFC7F0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708D9E5"/>
  <w15:docId w15:val="{805F278D-E8B3-4D6F-B467-8D12B2B39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NZ"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5" w:unhideWhenUsed="1"/>
    <w:lsdException w:name="index 1" w:semiHidden="1" w:uiPriority="99"/>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uiPriority="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lsdException w:name="Note Heading" w:semiHidden="1" w:uiPriority="99"/>
    <w:lsdException w:name="Body Text 2" w:semiHidden="1" w:uiPriority="99"/>
    <w:lsdException w:name="Body Text 3" w:semiHidden="1" w:uiPriority="99"/>
    <w:lsdException w:name="Body Text Indent 2" w:semiHidden="1" w:uiPriority="99" w:unhideWhenUsed="1"/>
    <w:lsdException w:name="Body Text Indent 3" w:semiHidden="1" w:uiPriority="99" w:unhideWhenUsed="1"/>
    <w:lsdException w:name="Block Text" w:semiHidden="1" w:uiPriority="99" w:unhideWhenUsed="1"/>
    <w:lsdException w:name="Hyperlink" w:uiPriority="99" w:unhideWhenUsed="1"/>
    <w:lsdException w:name="FollowedHyperlink" w:uiPriority="99" w:unhideWhenUsed="1"/>
    <w:lsdException w:name="Strong" w:uiPriority="19"/>
    <w:lsdException w:name="Emphasis" w:uiPriority="1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unhideWhenUsed="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04EF8"/>
  </w:style>
  <w:style w:type="paragraph" w:styleId="Heading1">
    <w:name w:val="heading 1"/>
    <w:aliases w:val="F.Heading 1"/>
    <w:basedOn w:val="Normal"/>
    <w:next w:val="Body"/>
    <w:link w:val="Heading1Char"/>
    <w:uiPriority w:val="5"/>
    <w:qFormat/>
    <w:rsid w:val="007E3146"/>
    <w:pPr>
      <w:keepNext/>
      <w:spacing w:before="240" w:after="60"/>
      <w:outlineLvl w:val="0"/>
    </w:pPr>
    <w:rPr>
      <w:rFonts w:ascii="Arial" w:eastAsia="MS Gothic" w:hAnsi="Arial"/>
      <w:b/>
      <w:bCs/>
      <w:kern w:val="32"/>
      <w:sz w:val="36"/>
      <w:szCs w:val="32"/>
    </w:rPr>
  </w:style>
  <w:style w:type="paragraph" w:styleId="Heading2">
    <w:name w:val="heading 2"/>
    <w:basedOn w:val="Normal"/>
    <w:next w:val="Body"/>
    <w:link w:val="Heading2Char"/>
    <w:uiPriority w:val="5"/>
    <w:qFormat/>
    <w:rsid w:val="007E3146"/>
    <w:pPr>
      <w:keepNext/>
      <w:spacing w:before="360" w:after="120"/>
      <w:outlineLvl w:val="1"/>
    </w:pPr>
    <w:rPr>
      <w:rFonts w:ascii="Arial" w:eastAsia="MS Gothic" w:hAnsi="Arial"/>
      <w:b/>
      <w:bCs/>
      <w:iCs/>
      <w:sz w:val="28"/>
      <w:szCs w:val="28"/>
    </w:rPr>
  </w:style>
  <w:style w:type="paragraph" w:styleId="Heading3">
    <w:name w:val="heading 3"/>
    <w:basedOn w:val="Normal"/>
    <w:next w:val="Body"/>
    <w:link w:val="Heading3Char"/>
    <w:uiPriority w:val="5"/>
    <w:qFormat/>
    <w:rsid w:val="007E3146"/>
    <w:pPr>
      <w:keepNext/>
      <w:spacing w:before="360" w:after="120"/>
      <w:outlineLvl w:val="2"/>
    </w:pPr>
    <w:rPr>
      <w:rFonts w:ascii="Arial" w:eastAsia="MS Gothic" w:hAnsi="Arial"/>
      <w:b/>
      <w:bCs/>
      <w:szCs w:val="26"/>
    </w:rPr>
  </w:style>
  <w:style w:type="paragraph" w:styleId="Heading4">
    <w:name w:val="heading 4"/>
    <w:basedOn w:val="Heading3"/>
    <w:next w:val="Body"/>
    <w:link w:val="Heading4Char"/>
    <w:uiPriority w:val="5"/>
    <w:unhideWhenUsed/>
    <w:rsid w:val="00491FE8"/>
    <w:pPr>
      <w:outlineLvl w:val="3"/>
    </w:pPr>
    <w:rPr>
      <w:rFonts w:eastAsia="MS Mincho"/>
      <w:b w:val="0"/>
      <w:bCs w:val="0"/>
      <w:szCs w:val="28"/>
    </w:rPr>
  </w:style>
  <w:style w:type="paragraph" w:styleId="Heading5">
    <w:name w:val="heading 5"/>
    <w:basedOn w:val="Heading4"/>
    <w:next w:val="Body"/>
    <w:link w:val="Heading5Char"/>
    <w:uiPriority w:val="5"/>
    <w:semiHidden/>
    <w:rsid w:val="00491FE8"/>
    <w:pPr>
      <w:outlineLvl w:val="4"/>
    </w:pPr>
    <w:rPr>
      <w:bCs/>
      <w:i/>
      <w:iCs/>
      <w:szCs w:val="26"/>
    </w:rPr>
  </w:style>
  <w:style w:type="paragraph" w:styleId="Heading6">
    <w:name w:val="heading 6"/>
    <w:basedOn w:val="Normal"/>
    <w:next w:val="Normal"/>
    <w:link w:val="Heading6Char"/>
    <w:uiPriority w:val="5"/>
    <w:semiHidden/>
    <w:rsid w:val="005061E4"/>
    <w:pPr>
      <w:spacing w:before="240" w:after="60"/>
      <w:outlineLvl w:val="5"/>
    </w:pPr>
    <w:rPr>
      <w:rFonts w:eastAsia="MS Mincho"/>
      <w:b/>
      <w:bCs/>
    </w:rPr>
  </w:style>
  <w:style w:type="paragraph" w:styleId="Heading7">
    <w:name w:val="heading 7"/>
    <w:basedOn w:val="Normal"/>
    <w:next w:val="Normal"/>
    <w:link w:val="Heading7Char"/>
    <w:uiPriority w:val="5"/>
    <w:semiHidden/>
    <w:rsid w:val="005061E4"/>
    <w:pPr>
      <w:spacing w:before="240" w:after="60"/>
      <w:outlineLvl w:val="6"/>
    </w:pPr>
    <w:rPr>
      <w:rFonts w:eastAsia="MS Mincho"/>
    </w:rPr>
  </w:style>
  <w:style w:type="paragraph" w:styleId="Heading8">
    <w:name w:val="heading 8"/>
    <w:basedOn w:val="Normal"/>
    <w:next w:val="Normal"/>
    <w:link w:val="Heading8Char"/>
    <w:uiPriority w:val="5"/>
    <w:semiHidden/>
    <w:rsid w:val="005061E4"/>
    <w:pPr>
      <w:spacing w:before="240" w:after="60"/>
      <w:outlineLvl w:val="7"/>
    </w:pPr>
    <w:rPr>
      <w:rFonts w:eastAsia="MS Mincho"/>
      <w:iCs/>
    </w:rPr>
  </w:style>
  <w:style w:type="paragraph" w:styleId="Heading9">
    <w:name w:val="heading 9"/>
    <w:basedOn w:val="Normal"/>
    <w:next w:val="Normal"/>
    <w:link w:val="Heading9Char"/>
    <w:uiPriority w:val="5"/>
    <w:semiHidden/>
    <w:rsid w:val="005061E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3BF4"/>
    <w:rPr>
      <w:rFonts w:ascii="Arial Narrow" w:hAnsi="Arial Narrow"/>
    </w:rPr>
    <w:tblPr>
      <w:tblBorders>
        <w:insideH w:val="single" w:sz="4" w:space="0" w:color="auto"/>
      </w:tblBorders>
    </w:tblPr>
    <w:tblStylePr w:type="firstRow">
      <w:rPr>
        <w:b/>
      </w:rPr>
      <w:tblPr/>
      <w:tcPr>
        <w:shd w:val="clear" w:color="auto" w:fill="FFDD00"/>
      </w:tcPr>
    </w:tblStylePr>
  </w:style>
  <w:style w:type="paragraph" w:styleId="BalloonText">
    <w:name w:val="Balloon Text"/>
    <w:basedOn w:val="Normal"/>
    <w:uiPriority w:val="99"/>
    <w:semiHidden/>
    <w:rsid w:val="00AA640B"/>
    <w:rPr>
      <w:rFonts w:cs="Tahoma"/>
      <w:sz w:val="16"/>
      <w:szCs w:val="16"/>
    </w:rPr>
  </w:style>
  <w:style w:type="paragraph" w:styleId="Header">
    <w:name w:val="header"/>
    <w:basedOn w:val="Normal"/>
    <w:link w:val="HeaderChar"/>
    <w:uiPriority w:val="99"/>
    <w:rsid w:val="008A19C2"/>
    <w:pPr>
      <w:tabs>
        <w:tab w:val="center" w:pos="4820"/>
        <w:tab w:val="right" w:pos="9639"/>
      </w:tabs>
    </w:pPr>
    <w:rPr>
      <w:rFonts w:ascii="Georgia" w:hAnsi="Georgia"/>
      <w:color w:val="454752" w:themeColor="text2"/>
      <w:sz w:val="16"/>
    </w:rPr>
  </w:style>
  <w:style w:type="table" w:customStyle="1" w:styleId="WCCLTP1">
    <w:name w:val="WCC LTP 1"/>
    <w:basedOn w:val="TableNormal"/>
    <w:uiPriority w:val="99"/>
    <w:rsid w:val="00ED0727"/>
    <w:pPr>
      <w:spacing w:before="113" w:after="113" w:line="200" w:lineRule="atLeast"/>
    </w:pPr>
    <w:rPr>
      <w:sz w:val="16"/>
    </w:rPr>
    <w:tblPr/>
    <w:tcPr>
      <w:tcBorders>
        <w:top w:val="nil"/>
        <w:left w:val="nil"/>
        <w:bottom w:val="single" w:sz="4" w:space="0" w:color="82858F"/>
        <w:right w:val="nil"/>
        <w:insideH w:val="nil"/>
        <w:insideV w:val="nil"/>
        <w:tl2br w:val="nil"/>
        <w:tr2bl w:val="nil"/>
      </w:tcBorders>
      <w:shd w:val="clear" w:color="auto" w:fill="FFDE00"/>
    </w:tcPr>
    <w:tblStylePr w:type="firstRow">
      <w:rPr>
        <w:rFonts w:asciiTheme="majorHAnsi" w:hAnsiTheme="majorHAnsi"/>
      </w:rPr>
    </w:tblStylePr>
  </w:style>
  <w:style w:type="table" w:styleId="MediumGrid2-Accent2">
    <w:name w:val="Medium Grid 2 Accent 2"/>
    <w:basedOn w:val="TableNormal"/>
    <w:uiPriority w:val="68"/>
    <w:rsid w:val="00AA640B"/>
    <w:rPr>
      <w:rFonts w:ascii="Arial Narrow" w:hAnsi="Arial Narrow"/>
      <w:color w:val="000000"/>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2-Accent3">
    <w:name w:val="Medium Grid 2 Accent 3"/>
    <w:basedOn w:val="TableNormal"/>
    <w:uiPriority w:val="68"/>
    <w:rsid w:val="00AA640B"/>
    <w:rPr>
      <w:rFonts w:ascii="Arial Narrow" w:hAnsi="Arial Narrow"/>
      <w:color w:val="000000"/>
    </w:rPr>
    <w:tblPr>
      <w:tblStyleRowBandSize w:val="1"/>
      <w:tblStyleColBandSize w:val="1"/>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TableProfessional">
    <w:name w:val="Table Professional"/>
    <w:basedOn w:val="TableNormal"/>
    <w:rsid w:val="00AA640B"/>
    <w:rPr>
      <w:rFonts w:ascii="Arial Narrow" w:hAnsi="Arial Narrow"/>
    </w:rPr>
    <w:tblPr/>
    <w:tcPr>
      <w:shd w:val="clear" w:color="auto" w:fill="auto"/>
    </w:tcPr>
    <w:tblStylePr w:type="firstRow">
      <w:rPr>
        <w:b/>
        <w:bCs/>
        <w:color w:val="auto"/>
      </w:rPr>
    </w:tblStylePr>
  </w:style>
  <w:style w:type="table" w:styleId="MediumGrid2-Accent4">
    <w:name w:val="Medium Grid 2 Accent 4"/>
    <w:basedOn w:val="TableNormal"/>
    <w:uiPriority w:val="68"/>
    <w:rsid w:val="00AA640B"/>
    <w:rPr>
      <w:rFonts w:ascii="Arial Narrow" w:hAnsi="Arial Narrow"/>
      <w:color w:val="000000"/>
    </w:rPr>
    <w:tblPr>
      <w:tblStyleRowBandSize w:val="1"/>
      <w:tblStyleColBandSize w:val="1"/>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Grid2-Accent5">
    <w:name w:val="Medium Grid 2 Accent 5"/>
    <w:basedOn w:val="TableNormal"/>
    <w:uiPriority w:val="68"/>
    <w:rsid w:val="00AA640B"/>
    <w:rPr>
      <w:rFonts w:ascii="Arial Narrow" w:hAnsi="Arial Narrow"/>
      <w:color w:val="000000"/>
    </w:rPr>
    <w:tblPr>
      <w:tblStyleRowBandSize w:val="1"/>
      <w:tblStyleColBandSize w:val="1"/>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2-Accent6">
    <w:name w:val="Medium Grid 2 Accent 6"/>
    <w:basedOn w:val="TableNormal"/>
    <w:uiPriority w:val="68"/>
    <w:rsid w:val="00AA640B"/>
    <w:rPr>
      <w:rFonts w:ascii="Arial Narrow" w:hAnsi="Arial Narrow"/>
      <w:color w:val="000000"/>
    </w:rPr>
    <w:tblPr>
      <w:tblStyleRowBandSize w:val="1"/>
      <w:tblStyleColBandSize w:val="1"/>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AA640B"/>
    <w:pPr>
      <w:keepNext/>
      <w:numPr>
        <w:numId w:val="3"/>
      </w:numPr>
      <w:tabs>
        <w:tab w:val="clear" w:pos="0"/>
      </w:tabs>
      <w:ind w:left="360" w:hanging="360"/>
      <w:contextualSpacing/>
      <w:outlineLvl w:val="0"/>
    </w:pPr>
  </w:style>
  <w:style w:type="paragraph" w:styleId="NoSpacing">
    <w:name w:val="No Spacing"/>
    <w:link w:val="NoSpacingChar"/>
    <w:uiPriority w:val="1"/>
    <w:unhideWhenUsed/>
    <w:qFormat/>
    <w:rsid w:val="00ED0727"/>
  </w:style>
  <w:style w:type="table" w:styleId="TableElegant">
    <w:name w:val="Table Elegant"/>
    <w:basedOn w:val="TableNormal"/>
    <w:rsid w:val="00AA640B"/>
    <w:rPr>
      <w:rFonts w:ascii="Arial Narrow" w:hAnsi="Arial Narrow"/>
    </w:rPr>
    <w:tblPr/>
    <w:tblStylePr w:type="firstRow">
      <w:rPr>
        <w:caps/>
        <w:color w:val="auto"/>
      </w:rPr>
    </w:tblStylePr>
  </w:style>
  <w:style w:type="table" w:styleId="TableContemporary">
    <w:name w:val="Table Contemporary"/>
    <w:basedOn w:val="TableNormal"/>
    <w:rsid w:val="00AA640B"/>
    <w:rPr>
      <w:rFonts w:ascii="Arial Narrow" w:hAnsi="Arial Narrow"/>
    </w:rPr>
    <w:tblPr>
      <w:tblStyleRowBandSize w:val="1"/>
    </w:tblPr>
    <w:tcPr>
      <w:shd w:val="pct5" w:color="000000" w:fill="FFFFFF"/>
    </w:tcPr>
    <w:tblStylePr w:type="firstRow">
      <w:rPr>
        <w:b/>
        <w:bCs/>
        <w:color w:val="auto"/>
      </w:rPr>
      <w:tblPr/>
      <w:tcPr>
        <w:shd w:val="pct20" w:color="000000" w:fill="FFFFFF"/>
      </w:tcPr>
    </w:tblStylePr>
    <w:tblStylePr w:type="band1Horz">
      <w:rPr>
        <w:color w:val="auto"/>
      </w:rPr>
    </w:tblStylePr>
    <w:tblStylePr w:type="band2Horz">
      <w:rPr>
        <w:color w:val="auto"/>
      </w:rPr>
    </w:tblStylePr>
  </w:style>
  <w:style w:type="table" w:styleId="TableColumns5">
    <w:name w:val="Table Columns 5"/>
    <w:basedOn w:val="TableNormal"/>
    <w:rsid w:val="00AA640B"/>
    <w:rPr>
      <w:rFonts w:ascii="Arial Narrow" w:hAnsi="Arial Narrow"/>
    </w:r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StyleRowBandSize w:val="1"/>
      <w:tblStyleColBandSize w:val="1"/>
    </w:tblPr>
    <w:tcPr>
      <w:tcBorders>
        <w:top w:val="double" w:sz="6" w:space="0" w:color="F9B074"/>
        <w:left w:val="single" w:sz="8" w:space="0" w:color="F9B074"/>
        <w:bottom w:val="single" w:sz="8" w:space="0" w:color="F9B074"/>
        <w:right w:val="single" w:sz="8" w:space="0" w:color="F9B074"/>
      </w:tcBorders>
      <w:shd w:val="clear" w:color="auto" w:fill="FDE4D0"/>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StylePr w:type="firstRow">
      <w:rPr>
        <w:b/>
        <w:bCs/>
      </w:rPr>
    </w:tblStylePr>
    <w:tblStylePr w:type="lastRow">
      <w:rPr>
        <w:b/>
        <w:bCs/>
        <w:color w:val="FFFFFF"/>
      </w:rPr>
    </w:tblStylePr>
    <w:tblStylePr w:type="firstCol">
      <w:rPr>
        <w:color w:val="FFFFFF"/>
      </w:rPr>
    </w:tblStylePr>
    <w:tblStylePr w:type="lastCol">
      <w:rPr>
        <w:color w:val="FFFFFF"/>
      </w:rPr>
    </w:tblStylePr>
  </w:style>
  <w:style w:type="table" w:styleId="MediumList2-Accent5">
    <w:name w:val="Medium List 2 Accent 5"/>
    <w:basedOn w:val="TableNormal"/>
    <w:uiPriority w:val="66"/>
    <w:rsid w:val="00AA640B"/>
    <w:rPr>
      <w:rFonts w:ascii="Arial Narrow" w:hAnsi="Arial Narrow"/>
      <w:color w:val="000000"/>
    </w:rPr>
    <w:tblPr>
      <w:tblStyleRowBandSize w:val="1"/>
      <w:tblStyleColBandSize w:val="1"/>
    </w:tblPr>
    <w:tcPr>
      <w:tcBorders>
        <w:top w:val="nil"/>
        <w:left w:val="nil"/>
        <w:bottom w:val="single" w:sz="24" w:space="0" w:color="9BBB59"/>
        <w:right w:val="nil"/>
      </w:tcBorders>
      <w:shd w:val="clear" w:color="auto" w:fill="F2EFF6"/>
    </w:tc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StyleRowBandSize w:val="1"/>
      <w:tblStyleColBandSize w:val="1"/>
    </w:tblPr>
    <w:tcPr>
      <w:tcBorders>
        <w:top w:val="nil"/>
        <w:left w:val="nil"/>
        <w:bottom w:val="nil"/>
        <w:right w:val="nil"/>
      </w:tcBorders>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style>
  <w:style w:type="table" w:styleId="MediumList1-Accent2">
    <w:name w:val="Medium List 1 Accent 2"/>
    <w:basedOn w:val="TableNormal"/>
    <w:uiPriority w:val="65"/>
    <w:rsid w:val="00AA640B"/>
    <w:rPr>
      <w:rFonts w:ascii="Arial Narrow" w:hAnsi="Arial Narrow"/>
      <w:color w:val="FFFFFF"/>
    </w:rPr>
    <w:tblPr>
      <w:tblStyleRowBandSize w:val="1"/>
      <w:tblStyleColBandSize w:val="1"/>
    </w:tblPr>
    <w:tcPr>
      <w:tcBorders>
        <w:top w:val="nil"/>
        <w:left w:val="nil"/>
        <w:bottom w:val="nil"/>
        <w:right w:val="nil"/>
      </w:tcBorders>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style>
  <w:style w:type="table" w:styleId="MediumList1-Accent3">
    <w:name w:val="Medium List 1 Accent 3"/>
    <w:basedOn w:val="TableNormal"/>
    <w:uiPriority w:val="65"/>
    <w:rsid w:val="00AA640B"/>
    <w:rPr>
      <w:rFonts w:ascii="Arial Narrow" w:hAnsi="Arial Narrow"/>
      <w:color w:val="FFFFFF"/>
    </w:rPr>
    <w:tblPr>
      <w:tblStyleRowBandSize w:val="1"/>
      <w:tblStyleColBandSize w:val="1"/>
    </w:tblPr>
    <w:tcPr>
      <w:tcBorders>
        <w:top w:val="nil"/>
        <w:left w:val="nil"/>
        <w:bottom w:val="nil"/>
        <w:right w:val="nil"/>
      </w:tcBorders>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style>
  <w:style w:type="table" w:styleId="MediumList1-Accent4">
    <w:name w:val="Medium List 1 Accent 4"/>
    <w:basedOn w:val="TableNormal"/>
    <w:uiPriority w:val="65"/>
    <w:rsid w:val="00AA640B"/>
    <w:rPr>
      <w:rFonts w:ascii="Arial Narrow" w:hAnsi="Arial Narrow"/>
      <w:color w:val="FFFFFF"/>
    </w:rPr>
    <w:tblPr>
      <w:tblStyleRowBandSize w:val="1"/>
      <w:tblStyleColBandSize w:val="1"/>
    </w:tblPr>
    <w:tcPr>
      <w:tcBorders>
        <w:top w:val="nil"/>
        <w:left w:val="nil"/>
        <w:bottom w:val="nil"/>
        <w:right w:val="nil"/>
      </w:tcBorders>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style>
  <w:style w:type="table" w:styleId="MediumList1-Accent5">
    <w:name w:val="Medium List 1 Accent 5"/>
    <w:basedOn w:val="TableNormal"/>
    <w:uiPriority w:val="65"/>
    <w:rsid w:val="00AA640B"/>
    <w:rPr>
      <w:rFonts w:ascii="Arial Narrow" w:hAnsi="Arial Narrow"/>
      <w:color w:val="FFFFFF"/>
    </w:rPr>
    <w:tblPr>
      <w:tblStyleRowBandSize w:val="1"/>
      <w:tblStyleColBandSize w:val="1"/>
    </w:tblPr>
    <w:tcPr>
      <w:tcBorders>
        <w:top w:val="nil"/>
        <w:left w:val="nil"/>
        <w:bottom w:val="nil"/>
        <w:right w:val="nil"/>
      </w:tcBorders>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style>
  <w:style w:type="table" w:styleId="MediumList1-Accent6">
    <w:name w:val="Medium List 1 Accent 6"/>
    <w:basedOn w:val="TableNormal"/>
    <w:uiPriority w:val="65"/>
    <w:rsid w:val="00AA640B"/>
    <w:rPr>
      <w:rFonts w:ascii="Arial Narrow" w:hAnsi="Arial Narrow"/>
      <w:color w:val="FFFFFF"/>
    </w:rPr>
    <w:tblPr>
      <w:tblStyleRowBandSize w:val="1"/>
      <w:tblStyleColBandSize w:val="1"/>
    </w:tblPr>
    <w:tcPr>
      <w:tcBorders>
        <w:top w:val="nil"/>
        <w:left w:val="nil"/>
        <w:bottom w:val="nil"/>
        <w:right w:val="nil"/>
      </w:tcBorders>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style>
  <w:style w:type="character" w:customStyle="1" w:styleId="Heading1Char">
    <w:name w:val="Heading 1 Char"/>
    <w:aliases w:val="F.Heading 1 Char"/>
    <w:link w:val="Heading1"/>
    <w:uiPriority w:val="5"/>
    <w:rsid w:val="007E3146"/>
    <w:rPr>
      <w:rFonts w:ascii="Arial" w:eastAsia="MS Gothic" w:hAnsi="Arial"/>
      <w:b/>
      <w:bCs/>
      <w:kern w:val="32"/>
      <w:sz w:val="36"/>
      <w:szCs w:val="32"/>
    </w:rPr>
  </w:style>
  <w:style w:type="character" w:customStyle="1" w:styleId="Heading2Char">
    <w:name w:val="Heading 2 Char"/>
    <w:link w:val="Heading2"/>
    <w:uiPriority w:val="5"/>
    <w:rsid w:val="007E3146"/>
    <w:rPr>
      <w:rFonts w:ascii="Arial" w:eastAsia="MS Gothic" w:hAnsi="Arial"/>
      <w:b/>
      <w:bCs/>
      <w:iCs/>
      <w:sz w:val="28"/>
      <w:szCs w:val="28"/>
    </w:rPr>
  </w:style>
  <w:style w:type="character" w:customStyle="1" w:styleId="Heading3Char">
    <w:name w:val="Heading 3 Char"/>
    <w:link w:val="Heading3"/>
    <w:uiPriority w:val="5"/>
    <w:rsid w:val="007E3146"/>
    <w:rPr>
      <w:rFonts w:ascii="Arial" w:eastAsia="MS Gothic" w:hAnsi="Arial"/>
      <w:b/>
      <w:bCs/>
      <w:szCs w:val="26"/>
    </w:rPr>
  </w:style>
  <w:style w:type="character" w:customStyle="1" w:styleId="Heading4Char">
    <w:name w:val="Heading 4 Char"/>
    <w:link w:val="Heading4"/>
    <w:uiPriority w:val="5"/>
    <w:rsid w:val="00834FAF"/>
    <w:rPr>
      <w:rFonts w:asciiTheme="majorHAnsi" w:eastAsia="MS Mincho" w:hAnsiTheme="majorHAnsi"/>
      <w:sz w:val="24"/>
      <w:szCs w:val="28"/>
    </w:rPr>
  </w:style>
  <w:style w:type="character" w:customStyle="1" w:styleId="Heading5Char">
    <w:name w:val="Heading 5 Char"/>
    <w:link w:val="Heading5"/>
    <w:uiPriority w:val="5"/>
    <w:semiHidden/>
    <w:rsid w:val="00834FAF"/>
    <w:rPr>
      <w:rFonts w:asciiTheme="majorHAnsi" w:eastAsia="MS Mincho" w:hAnsiTheme="majorHAnsi"/>
      <w:bCs/>
      <w:i/>
      <w:iCs/>
      <w:sz w:val="24"/>
      <w:szCs w:val="26"/>
    </w:rPr>
  </w:style>
  <w:style w:type="character" w:customStyle="1" w:styleId="HeaderChar">
    <w:name w:val="Header Char"/>
    <w:link w:val="Header"/>
    <w:uiPriority w:val="99"/>
    <w:rsid w:val="008A19C2"/>
    <w:rPr>
      <w:rFonts w:ascii="Georgia" w:hAnsi="Georgia"/>
      <w:color w:val="454752" w:themeColor="text2"/>
      <w:sz w:val="16"/>
    </w:rPr>
  </w:style>
  <w:style w:type="paragraph" w:styleId="Footer">
    <w:name w:val="footer"/>
    <w:basedOn w:val="Normal"/>
    <w:link w:val="FooterChar"/>
    <w:uiPriority w:val="99"/>
    <w:unhideWhenUsed/>
    <w:rsid w:val="00A82721"/>
    <w:pPr>
      <w:tabs>
        <w:tab w:val="center" w:pos="4820"/>
        <w:tab w:val="right" w:pos="9639"/>
      </w:tabs>
    </w:pPr>
    <w:rPr>
      <w:sz w:val="16"/>
    </w:rPr>
  </w:style>
  <w:style w:type="character" w:customStyle="1" w:styleId="FooterChar">
    <w:name w:val="Footer Char"/>
    <w:link w:val="Footer"/>
    <w:uiPriority w:val="99"/>
    <w:rsid w:val="00FD26BF"/>
    <w:rPr>
      <w:rFonts w:asciiTheme="minorHAnsi" w:hAnsiTheme="minorHAnsi"/>
      <w:sz w:val="16"/>
    </w:rPr>
  </w:style>
  <w:style w:type="paragraph" w:customStyle="1" w:styleId="WCCFormheader">
    <w:name w:val="WCC Form header"/>
    <w:basedOn w:val="Heading1"/>
    <w:link w:val="WCCFormheaderChar"/>
    <w:uiPriority w:val="9"/>
    <w:semiHidden/>
    <w:rsid w:val="004F7CFE"/>
    <w:pPr>
      <w:spacing w:before="0" w:after="80" w:line="400" w:lineRule="exact"/>
    </w:pPr>
    <w:rPr>
      <w:color w:val="3C3C3B"/>
      <w:sz w:val="40"/>
      <w:szCs w:val="40"/>
    </w:rPr>
  </w:style>
  <w:style w:type="character" w:customStyle="1" w:styleId="WCCFormheaderChar">
    <w:name w:val="WCC Form header Char"/>
    <w:link w:val="WCCFormheader"/>
    <w:uiPriority w:val="9"/>
    <w:semiHidden/>
    <w:rsid w:val="00404EF8"/>
    <w:rPr>
      <w:rFonts w:asciiTheme="majorHAnsi" w:eastAsia="MS Gothic" w:hAnsiTheme="majorHAnsi"/>
      <w:b/>
      <w:bCs/>
      <w:color w:val="3C3C3B"/>
      <w:kern w:val="32"/>
      <w:sz w:val="40"/>
      <w:szCs w:val="40"/>
    </w:rPr>
  </w:style>
  <w:style w:type="character" w:customStyle="1" w:styleId="Heading6Char">
    <w:name w:val="Heading 6 Char"/>
    <w:link w:val="Heading6"/>
    <w:uiPriority w:val="5"/>
    <w:semiHidden/>
    <w:rsid w:val="00834FAF"/>
    <w:rPr>
      <w:rFonts w:eastAsia="MS Mincho"/>
      <w:b/>
      <w:bCs/>
    </w:rPr>
  </w:style>
  <w:style w:type="character" w:customStyle="1" w:styleId="Heading7Char">
    <w:name w:val="Heading 7 Char"/>
    <w:link w:val="Heading7"/>
    <w:uiPriority w:val="5"/>
    <w:semiHidden/>
    <w:rsid w:val="00834FAF"/>
    <w:rPr>
      <w:rFonts w:eastAsia="MS Mincho"/>
    </w:rPr>
  </w:style>
  <w:style w:type="character" w:customStyle="1" w:styleId="Heading8Char">
    <w:name w:val="Heading 8 Char"/>
    <w:link w:val="Heading8"/>
    <w:uiPriority w:val="5"/>
    <w:semiHidden/>
    <w:rsid w:val="00834FAF"/>
    <w:rPr>
      <w:rFonts w:eastAsia="MS Mincho"/>
      <w:iCs/>
    </w:rPr>
  </w:style>
  <w:style w:type="character" w:customStyle="1" w:styleId="Heading9Char">
    <w:name w:val="Heading 9 Char"/>
    <w:link w:val="Heading9"/>
    <w:uiPriority w:val="5"/>
    <w:semiHidden/>
    <w:rsid w:val="00834FAF"/>
    <w:rPr>
      <w:rFonts w:eastAsia="MS Gothic"/>
    </w:rPr>
  </w:style>
  <w:style w:type="character" w:styleId="HTMLCode">
    <w:name w:val="HTML Code"/>
    <w:uiPriority w:val="99"/>
    <w:semiHidden/>
    <w:rsid w:val="005061E4"/>
    <w:rPr>
      <w:rFonts w:ascii="Arial Narrow" w:hAnsi="Arial Narrow"/>
      <w:sz w:val="20"/>
      <w:szCs w:val="20"/>
    </w:rPr>
  </w:style>
  <w:style w:type="character" w:styleId="HTMLKeyboard">
    <w:name w:val="HTML Keyboard"/>
    <w:uiPriority w:val="99"/>
    <w:semiHidden/>
    <w:rsid w:val="005061E4"/>
    <w:rPr>
      <w:rFonts w:ascii="Arial Narrow" w:hAnsi="Arial Narrow"/>
      <w:sz w:val="20"/>
      <w:szCs w:val="20"/>
    </w:rPr>
  </w:style>
  <w:style w:type="paragraph" w:styleId="HTMLPreformatted">
    <w:name w:val="HTML Preformatted"/>
    <w:basedOn w:val="Normal"/>
    <w:link w:val="HTMLPreformattedChar"/>
    <w:uiPriority w:val="99"/>
    <w:semiHidden/>
    <w:rsid w:val="005061E4"/>
    <w:rPr>
      <w:sz w:val="20"/>
      <w:szCs w:val="20"/>
    </w:rPr>
  </w:style>
  <w:style w:type="character" w:customStyle="1" w:styleId="HTMLPreformattedChar">
    <w:name w:val="HTML Preformatted Char"/>
    <w:link w:val="HTMLPreformatted"/>
    <w:uiPriority w:val="99"/>
    <w:semiHidden/>
    <w:rsid w:val="00FD26BF"/>
    <w:rPr>
      <w:sz w:val="20"/>
      <w:szCs w:val="20"/>
    </w:rPr>
  </w:style>
  <w:style w:type="character" w:styleId="HTMLSample">
    <w:name w:val="HTML Sample"/>
    <w:uiPriority w:val="99"/>
    <w:semiHidden/>
    <w:rsid w:val="005061E4"/>
    <w:rPr>
      <w:rFonts w:ascii="Arial Narrow" w:hAnsi="Arial Narrow"/>
    </w:rPr>
  </w:style>
  <w:style w:type="character" w:styleId="HTMLTypewriter">
    <w:name w:val="HTML Typewriter"/>
    <w:uiPriority w:val="99"/>
    <w:semiHidden/>
    <w:rsid w:val="005061E4"/>
    <w:rPr>
      <w:rFonts w:ascii="Arial Narrow" w:hAnsi="Arial Narrow"/>
      <w:sz w:val="20"/>
      <w:szCs w:val="20"/>
    </w:rPr>
  </w:style>
  <w:style w:type="table" w:styleId="ColorfulShading">
    <w:name w:val="Colorful Shading"/>
    <w:basedOn w:val="TableNormal"/>
    <w:uiPriority w:val="71"/>
    <w:rsid w:val="005061E4"/>
    <w:rPr>
      <w:rFonts w:ascii="Arial Narrow" w:hAnsi="Arial Narrow"/>
    </w:rPr>
    <w:tblPr>
      <w:tblStyleRowBandSize w:val="1"/>
      <w:tblStyleColBandSize w:val="1"/>
    </w:tblPr>
    <w:tcPr>
      <w:tcBorders>
        <w:top w:val="single" w:sz="8" w:space="0" w:color="000000"/>
        <w:left w:val="single" w:sz="8" w:space="0" w:color="000000"/>
        <w:bottom w:val="single" w:sz="8" w:space="0" w:color="000000"/>
        <w:right w:val="single" w:sz="8" w:space="0" w:color="000000"/>
      </w:tcBorders>
      <w:shd w:val="clear" w:color="auto" w:fill="C0C0C0"/>
    </w:tcPr>
    <w:tblStylePr w:type="firstRow">
      <w:pPr>
        <w:spacing w:before="0" w:after="0" w:line="240" w:lineRule="auto"/>
      </w:pPr>
      <w:rPr>
        <w:rFonts w:ascii="New York" w:eastAsia="Helvetica" w:hAnsi="New Yor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ew York" w:eastAsia="Helvetica" w:hAnsi="New Yor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Grid1-Accent1">
    <w:name w:val="Medium Grid 1 Accent 1"/>
    <w:basedOn w:val="TableNormal"/>
    <w:uiPriority w:val="67"/>
    <w:rsid w:val="005061E4"/>
    <w:rPr>
      <w:rFonts w:ascii="Arial Narrow" w:hAnsi="Arial Narrow"/>
    </w:rPr>
    <w:tblPr>
      <w:tblStyleRowBandSize w:val="1"/>
      <w:tblStyleColBandSize w:val="1"/>
    </w:tblPr>
    <w:tcPr>
      <w:tcBorders>
        <w:top w:val="single" w:sz="8" w:space="0" w:color="4F81BD"/>
        <w:left w:val="single" w:sz="8" w:space="0" w:color="4F81BD"/>
        <w:bottom w:val="single" w:sz="8" w:space="0" w:color="4F81BD"/>
        <w:right w:val="single" w:sz="8" w:space="0" w:color="4F81BD"/>
      </w:tcBorders>
      <w:shd w:val="clear" w:color="auto" w:fill="D3DFEE"/>
    </w:tcPr>
    <w:tblStylePr w:type="firstRow">
      <w:pPr>
        <w:spacing w:before="0" w:after="0" w:line="240" w:lineRule="auto"/>
      </w:pPr>
      <w:rPr>
        <w:rFonts w:ascii="New York" w:eastAsia="Helvetica" w:hAnsi="New Yor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 York" w:eastAsia="Helvetica" w:hAnsi="New Yor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2">
    <w:name w:val="Colorful Shading Accent 2"/>
    <w:basedOn w:val="TableNormal"/>
    <w:uiPriority w:val="71"/>
    <w:rsid w:val="005061E4"/>
    <w:rPr>
      <w:rFonts w:ascii="Arial Narrow" w:hAnsi="Arial Narrow"/>
    </w:rPr>
    <w:tblPr>
      <w:tblStyleRowBandSize w:val="1"/>
      <w:tblStyleColBandSize w:val="1"/>
    </w:tblPr>
    <w:tcPr>
      <w:tcBorders>
        <w:left w:val="single" w:sz="8" w:space="0" w:color="C0504D"/>
        <w:bottom w:val="single" w:sz="8" w:space="0" w:color="C0504D"/>
        <w:right w:val="single" w:sz="8" w:space="0" w:color="C0504D"/>
      </w:tcBorders>
    </w:tcPr>
    <w:tblStylePr w:type="firstRow">
      <w:pPr>
        <w:spacing w:before="0" w:after="0" w:line="240" w:lineRule="auto"/>
      </w:pPr>
      <w:rPr>
        <w:rFonts w:ascii="New York" w:eastAsia="Helvetica" w:hAnsi="New York"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New York" w:eastAsia="Helvetica" w:hAnsi="New York"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style>
  <w:style w:type="table" w:styleId="ColorfulShading-Accent3">
    <w:name w:val="Colorful Shading Accent 3"/>
    <w:basedOn w:val="TableNormal"/>
    <w:uiPriority w:val="71"/>
    <w:rsid w:val="005061E4"/>
    <w:rPr>
      <w:rFonts w:ascii="Arial Narrow" w:hAnsi="Arial Narrow"/>
    </w:rPr>
    <w:tblPr>
      <w:tblStyleRowBandSize w:val="1"/>
      <w:tblStyleColBandSize w:val="1"/>
    </w:tblPr>
    <w:tcPr>
      <w:tcBorders>
        <w:top w:val="single" w:sz="8" w:space="0" w:color="9BBB59"/>
        <w:left w:val="single" w:sz="8" w:space="0" w:color="9BBB59"/>
        <w:bottom w:val="single" w:sz="8" w:space="0" w:color="9BBB59"/>
        <w:right w:val="single" w:sz="8" w:space="0" w:color="9BBB59"/>
      </w:tcBorders>
      <w:shd w:val="clear" w:color="auto" w:fill="E6EED5"/>
    </w:tcPr>
    <w:tblStylePr w:type="firstRow">
      <w:pPr>
        <w:spacing w:before="0" w:after="0" w:line="240" w:lineRule="auto"/>
      </w:pPr>
      <w:rPr>
        <w:rFonts w:ascii="New York" w:eastAsia="Helvetica" w:hAnsi="New York"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ew York" w:eastAsia="Helvetica" w:hAnsi="New York"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Shading-Accent4">
    <w:name w:val="Colorful Shading Accent 4"/>
    <w:basedOn w:val="TableNormal"/>
    <w:uiPriority w:val="71"/>
    <w:rsid w:val="005061E4"/>
    <w:rPr>
      <w:rFonts w:ascii="Arial Narrow" w:hAnsi="Arial Narrow"/>
    </w:rPr>
    <w:tblPr>
      <w:tblStyleRowBandSize w:val="1"/>
      <w:tblStyleColBandSize w:val="1"/>
    </w:tblPr>
    <w:tcPr>
      <w:tcBorders>
        <w:top w:val="single" w:sz="8" w:space="0" w:color="8064A2"/>
        <w:left w:val="single" w:sz="8" w:space="0" w:color="8064A2"/>
        <w:bottom w:val="single" w:sz="8" w:space="0" w:color="8064A2"/>
        <w:right w:val="single" w:sz="8" w:space="0" w:color="8064A2"/>
      </w:tcBorders>
      <w:shd w:val="clear" w:color="auto" w:fill="DFD8E8"/>
    </w:tcPr>
    <w:tblStylePr w:type="firstRow">
      <w:pPr>
        <w:spacing w:before="0" w:after="0" w:line="240" w:lineRule="auto"/>
      </w:pPr>
      <w:rPr>
        <w:rFonts w:ascii="New York" w:eastAsia="Helvetica" w:hAnsi="New York"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New York" w:eastAsia="Helvetica" w:hAnsi="New York"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ColorfulShading-Accent5">
    <w:name w:val="Colorful Shading Accent 5"/>
    <w:basedOn w:val="TableNormal"/>
    <w:uiPriority w:val="71"/>
    <w:rsid w:val="005061E4"/>
    <w:rPr>
      <w:rFonts w:ascii="Arial Narrow" w:hAnsi="Arial Narrow"/>
    </w:rPr>
    <w:tblPr>
      <w:tblStyleRowBandSize w:val="1"/>
      <w:tblStyleColBandSize w:val="1"/>
    </w:tblPr>
    <w:tcPr>
      <w:tcBorders>
        <w:top w:val="single" w:sz="8" w:space="0" w:color="4BACC6"/>
        <w:left w:val="single" w:sz="8" w:space="0" w:color="4BACC6"/>
        <w:bottom w:val="single" w:sz="8" w:space="0" w:color="4BACC6"/>
        <w:right w:val="single" w:sz="8" w:space="0" w:color="4BACC6"/>
      </w:tcBorders>
      <w:shd w:val="clear" w:color="auto" w:fill="D2EAF1"/>
    </w:tcPr>
    <w:tblStylePr w:type="firstRow">
      <w:pPr>
        <w:spacing w:before="0" w:after="0" w:line="240" w:lineRule="auto"/>
      </w:pPr>
      <w:rPr>
        <w:rFonts w:ascii="New York" w:eastAsia="Helvetica" w:hAnsi="New Yor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ew York" w:eastAsia="Helvetica" w:hAnsi="New Yor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ColorfulShading-Accent6">
    <w:name w:val="Colorful Shading Accent 6"/>
    <w:basedOn w:val="TableNormal"/>
    <w:uiPriority w:val="71"/>
    <w:rsid w:val="005061E4"/>
    <w:rPr>
      <w:rFonts w:ascii="Arial Narrow" w:hAnsi="Arial Narrow"/>
    </w:rPr>
    <w:tblPr>
      <w:tblStyleRowBandSize w:val="1"/>
      <w:tblStyleColBandSize w:val="1"/>
    </w:tblPr>
    <w:tblStylePr w:type="firstRow">
      <w:pPr>
        <w:spacing w:before="0" w:after="0" w:line="240" w:lineRule="auto"/>
      </w:pPr>
      <w:rPr>
        <w:rFonts w:ascii="New York" w:eastAsia="Helvetica" w:hAnsi="New Yor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New York" w:eastAsia="Helvetica" w:hAnsi="New York"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
    <w:name w:val="Dark List"/>
    <w:basedOn w:val="TableNormal"/>
    <w:uiPriority w:val="70"/>
    <w:rsid w:val="005061E4"/>
    <w:rPr>
      <w:rFonts w:ascii="Arial Narrow" w:hAnsi="Arial Narrow"/>
    </w:rPr>
    <w:tblPr>
      <w:tblStyleRowBandSize w:val="1"/>
      <w:tblStyleColBandSize w:val="1"/>
    </w:tblPr>
    <w:tcPr>
      <w:tcBorders>
        <w:top w:val="single" w:sz="8" w:space="0" w:color="000000"/>
        <w:left w:val="single" w:sz="8" w:space="0" w:color="000000"/>
        <w:bottom w:val="single" w:sz="8" w:space="0" w:color="000000"/>
        <w:right w:val="single" w:sz="8" w:space="0" w:color="000000"/>
      </w:tcBorders>
    </w:tc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style>
  <w:style w:type="table" w:styleId="MediumList2-Accent1">
    <w:name w:val="Medium List 2 Accent 1"/>
    <w:basedOn w:val="TableNormal"/>
    <w:uiPriority w:val="66"/>
    <w:rsid w:val="005061E4"/>
    <w:rPr>
      <w:rFonts w:ascii="Arial Narrow" w:hAnsi="Arial Narrow"/>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styleId="DarkList-Accent2">
    <w:name w:val="Dark List Accent 2"/>
    <w:basedOn w:val="TableNormal"/>
    <w:uiPriority w:val="70"/>
    <w:rsid w:val="005061E4"/>
    <w:rPr>
      <w:rFonts w:ascii="Arial Narrow" w:hAnsi="Arial Narrow"/>
    </w:rPr>
    <w:tblPr>
      <w:tblStyleRowBandSize w:val="1"/>
      <w:tblStyleColBandSize w:val="1"/>
    </w:tblPr>
    <w:tcPr>
      <w:tcBorders>
        <w:left w:val="single" w:sz="8" w:space="0" w:color="C0504D"/>
        <w:bottom w:val="single" w:sz="8" w:space="0" w:color="C0504D"/>
        <w:right w:val="single" w:sz="8" w:space="0" w:color="C0504D"/>
      </w:tcBorders>
    </w:tc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3">
    <w:name w:val="Dark List Accent 3"/>
    <w:basedOn w:val="TableNormal"/>
    <w:uiPriority w:val="70"/>
    <w:rsid w:val="005061E4"/>
    <w:rPr>
      <w:rFonts w:ascii="Arial Narrow" w:hAnsi="Arial Narrow"/>
    </w:rPr>
    <w:tblPr>
      <w:tblStyleRowBandSize w:val="1"/>
      <w:tblStyleColBandSize w:val="1"/>
    </w:tblPr>
    <w:tcPr>
      <w:tcBorders>
        <w:top w:val="single" w:sz="8" w:space="0" w:color="9BBB59"/>
        <w:left w:val="single" w:sz="8" w:space="0" w:color="9BBB59"/>
        <w:bottom w:val="single" w:sz="8" w:space="0" w:color="9BBB59"/>
        <w:right w:val="single" w:sz="8" w:space="0" w:color="9BBB59"/>
      </w:tcBorders>
    </w:tc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style>
  <w:style w:type="table" w:styleId="DarkList-Accent4">
    <w:name w:val="Dark List Accent 4"/>
    <w:basedOn w:val="TableNormal"/>
    <w:uiPriority w:val="70"/>
    <w:rsid w:val="005061E4"/>
    <w:rPr>
      <w:rFonts w:ascii="Arial Narrow" w:hAnsi="Arial Narrow"/>
    </w:rPr>
    <w:tblPr>
      <w:tblStyleRowBandSize w:val="1"/>
      <w:tblStyleColBandSize w:val="1"/>
    </w:tblPr>
    <w:tcPr>
      <w:tcBorders>
        <w:top w:val="single" w:sz="8" w:space="0" w:color="8064A2"/>
        <w:left w:val="single" w:sz="8" w:space="0" w:color="8064A2"/>
        <w:bottom w:val="single" w:sz="8" w:space="0" w:color="8064A2"/>
        <w:right w:val="single" w:sz="8" w:space="0" w:color="8064A2"/>
      </w:tcBorders>
    </w:tc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style>
  <w:style w:type="table" w:styleId="DarkList-Accent5">
    <w:name w:val="Dark List Accent 5"/>
    <w:basedOn w:val="TableNormal"/>
    <w:uiPriority w:val="70"/>
    <w:rsid w:val="005061E4"/>
    <w:rPr>
      <w:rFonts w:ascii="Arial Narrow" w:hAnsi="Arial Narrow"/>
    </w:rPr>
    <w:tblPr>
      <w:tblStyleRowBandSize w:val="1"/>
      <w:tblStyleColBandSize w:val="1"/>
    </w:tblPr>
    <w:tcPr>
      <w:tcBorders>
        <w:top w:val="single" w:sz="8" w:space="0" w:color="4BACC6"/>
        <w:left w:val="single" w:sz="8" w:space="0" w:color="4BACC6"/>
        <w:bottom w:val="single" w:sz="8" w:space="0" w:color="4BACC6"/>
        <w:right w:val="single" w:sz="8" w:space="0" w:color="4BACC6"/>
      </w:tcBorders>
    </w:tc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style>
  <w:style w:type="table" w:styleId="DarkList-Accent6">
    <w:name w:val="Dark List Accent 6"/>
    <w:basedOn w:val="TableNormal"/>
    <w:uiPriority w:val="70"/>
    <w:rsid w:val="005061E4"/>
    <w:rPr>
      <w:rFonts w:ascii="Arial Narrow" w:hAnsi="Arial Narrow"/>
    </w:rPr>
    <w:tblPr>
      <w:tblStyleRowBandSize w:val="1"/>
      <w:tblStyleColBandSize w:val="1"/>
    </w:tblPr>
    <w:tcPr>
      <w:tcBorders>
        <w:top w:val="single" w:sz="8" w:space="0" w:color="F79646"/>
        <w:left w:val="single" w:sz="8" w:space="0" w:color="F79646"/>
        <w:bottom w:val="single" w:sz="8" w:space="0" w:color="F79646"/>
        <w:right w:val="single" w:sz="8" w:space="0" w:color="F79646"/>
      </w:tcBorders>
    </w:tc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style>
  <w:style w:type="table" w:styleId="MediumGrid3">
    <w:name w:val="Medium Grid 3"/>
    <w:basedOn w:val="TableNormal"/>
    <w:uiPriority w:val="69"/>
    <w:rsid w:val="005061E4"/>
    <w:rPr>
      <w:rFonts w:ascii="Arial Narrow" w:hAnsi="Arial Narrow"/>
      <w:color w:val="000000"/>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Grid3-Accent2">
    <w:name w:val="Medium Grid 3 Accent 2"/>
    <w:basedOn w:val="TableNormal"/>
    <w:uiPriority w:val="69"/>
    <w:rsid w:val="005061E4"/>
    <w:rPr>
      <w:rFonts w:ascii="Arial Narrow" w:hAnsi="Arial Narrow"/>
      <w:color w:val="943634"/>
    </w:rPr>
    <w:tblPr>
      <w:tblStyleRowBandSize w:val="1"/>
      <w:tblStyleColBandSize w:val="1"/>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3-Accent3">
    <w:name w:val="Medium Grid 3 Accent 3"/>
    <w:basedOn w:val="TableNormal"/>
    <w:uiPriority w:val="69"/>
    <w:rsid w:val="005061E4"/>
    <w:rPr>
      <w:rFonts w:ascii="Arial Narrow" w:hAnsi="Arial Narrow"/>
      <w:color w:val="76923C"/>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Grid3-Accent4">
    <w:name w:val="Medium Grid 3 Accent 4"/>
    <w:basedOn w:val="TableNormal"/>
    <w:uiPriority w:val="69"/>
    <w:rsid w:val="005061E4"/>
    <w:rPr>
      <w:rFonts w:ascii="Arial Narrow" w:hAnsi="Arial Narrow"/>
      <w:color w:val="5F497A"/>
    </w:rPr>
    <w:tblPr>
      <w:tblStyleRowBandSize w:val="1"/>
      <w:tblStyleColBandSize w:val="1"/>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Grid3-Accent5">
    <w:name w:val="Medium Grid 3 Accent 5"/>
    <w:basedOn w:val="TableNormal"/>
    <w:uiPriority w:val="69"/>
    <w:rsid w:val="005061E4"/>
    <w:rPr>
      <w:rFonts w:ascii="Arial Narrow" w:hAnsi="Arial Narrow"/>
      <w:color w:val="31849B"/>
    </w:rPr>
    <w:tblPr>
      <w:tblStyleRowBandSize w:val="1"/>
      <w:tblStyleColBandSize w:val="1"/>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6">
    <w:name w:val="Medium Grid 3 Accent 6"/>
    <w:basedOn w:val="TableNormal"/>
    <w:uiPriority w:val="69"/>
    <w:rsid w:val="005061E4"/>
    <w:rPr>
      <w:rFonts w:ascii="Arial Narrow" w:hAnsi="Arial Narrow"/>
      <w:color w:val="E36C0A"/>
    </w:rPr>
    <w:tblPr>
      <w:tblStyleRowBandSize w:val="1"/>
      <w:tblStyleColBandSize w:val="1"/>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1">
    <w:name w:val="Light Grid Accent 1"/>
    <w:basedOn w:val="TableNormal"/>
    <w:uiPriority w:val="62"/>
    <w:rsid w:val="005061E4"/>
    <w:rPr>
      <w:rFonts w:ascii="Arial Narrow" w:hAnsi="Arial Narrow"/>
    </w:rPr>
    <w:tblPr>
      <w:tblStyleRowBandSize w:val="1"/>
      <w:tblStyleColBandSize w:val="1"/>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style>
  <w:style w:type="table" w:styleId="LightGrid-Accent2">
    <w:name w:val="Light Grid Accent 2"/>
    <w:basedOn w:val="TableNormal"/>
    <w:uiPriority w:val="62"/>
    <w:rsid w:val="005061E4"/>
    <w:rPr>
      <w:rFonts w:ascii="Arial Narrow" w:hAnsi="Arial Narrow"/>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3">
    <w:name w:val="Light Grid Accent 3"/>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4">
    <w:name w:val="Light Grid Accent 4"/>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5">
    <w:name w:val="Light Grid Accent 5"/>
    <w:basedOn w:val="TableNormal"/>
    <w:uiPriority w:val="62"/>
    <w:rsid w:val="005061E4"/>
    <w:rPr>
      <w:rFonts w:ascii="Arial Narrow" w:hAnsi="Arial Narrow"/>
    </w:rPr>
    <w:tblPr>
      <w:tblStyleRowBandSize w:val="1"/>
      <w:tblStyleColBandSize w:val="1"/>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style>
  <w:style w:type="table" w:styleId="LightGrid-Accent6">
    <w:name w:val="Light Grid Accent 6"/>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MediumShading1-Accent1">
    <w:name w:val="Medium Shading 1 Accent 1"/>
    <w:basedOn w:val="TableNormal"/>
    <w:uiPriority w:val="63"/>
    <w:rsid w:val="005061E4"/>
    <w:rPr>
      <w:rFonts w:ascii="Arial Narrow" w:eastAsia="MS Gothic" w:hAnsi="Arial Narrow"/>
      <w:color w:val="000000"/>
    </w:rPr>
    <w:tblPr>
      <w:tblStyleRowBandSize w:val="1"/>
      <w:tblStyleColBandSize w:val="1"/>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nwCell">
      <w:tblPr/>
      <w:tcPr>
        <w:shd w:val="clear" w:color="auto" w:fill="FFFFFF"/>
      </w:tcPr>
    </w:tblStylePr>
  </w:style>
  <w:style w:type="table" w:styleId="MediumShading1-Accent2">
    <w:name w:val="Medium Shading 1 Accent 2"/>
    <w:basedOn w:val="TableNormal"/>
    <w:uiPriority w:val="63"/>
    <w:rsid w:val="005061E4"/>
    <w:rPr>
      <w:rFonts w:ascii="Arial Narrow" w:eastAsia="MS Gothic" w:hAnsi="Arial Narrow"/>
      <w:color w:val="000000"/>
    </w:rPr>
    <w:tblPr>
      <w:tblStyleRowBandSize w:val="1"/>
      <w:tblStyleColBandSize w:val="1"/>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nwCell">
      <w:tblPr/>
      <w:tcPr>
        <w:shd w:val="clear" w:color="auto" w:fill="FFFFFF"/>
      </w:tcPr>
    </w:tblStylePr>
  </w:style>
  <w:style w:type="table" w:styleId="MediumShading1-Accent3">
    <w:name w:val="Medium Shading 1 Accent 3"/>
    <w:basedOn w:val="TableNormal"/>
    <w:uiPriority w:val="63"/>
    <w:rsid w:val="005061E4"/>
    <w:rPr>
      <w:rFonts w:ascii="Arial Narrow" w:eastAsia="MS Gothic" w:hAnsi="Arial Narrow"/>
      <w:color w:val="000000"/>
    </w:rPr>
    <w:tblPr>
      <w:tblStyleRowBandSize w:val="1"/>
      <w:tblStyleColBandSize w:val="1"/>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nwCell">
      <w:tblPr/>
      <w:tcPr>
        <w:shd w:val="clear" w:color="auto" w:fill="FFFFFF"/>
      </w:tcPr>
    </w:tblStylePr>
  </w:style>
  <w:style w:type="table" w:styleId="MediumShading1-Accent4">
    <w:name w:val="Medium Shading 1 Accent 4"/>
    <w:basedOn w:val="TableNormal"/>
    <w:uiPriority w:val="63"/>
    <w:rsid w:val="005061E4"/>
    <w:rPr>
      <w:rFonts w:ascii="Arial Narrow" w:eastAsia="MS Gothic" w:hAnsi="Arial Narrow"/>
      <w:color w:val="000000"/>
    </w:rPr>
    <w:tblPr>
      <w:tblStyleRowBandSize w:val="1"/>
      <w:tblStyleColBandSize w:val="1"/>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Shading1-Accent5">
    <w:name w:val="Medium Shading 1 Accent 5"/>
    <w:basedOn w:val="TableNormal"/>
    <w:uiPriority w:val="63"/>
    <w:rsid w:val="005061E4"/>
    <w:rPr>
      <w:rFonts w:ascii="Arial Narrow" w:eastAsia="MS Gothic" w:hAnsi="Arial Narrow"/>
      <w:color w:val="000000"/>
    </w:rPr>
    <w:tblPr>
      <w:tblStyleRowBandSize w:val="1"/>
      <w:tblStyleColBandSize w:val="1"/>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Shading1-Accent6">
    <w:name w:val="Medium Shading 1 Accent 6"/>
    <w:basedOn w:val="TableNormal"/>
    <w:uiPriority w:val="63"/>
    <w:rsid w:val="005061E4"/>
    <w:rPr>
      <w:rFonts w:ascii="Arial Narrow" w:eastAsia="MS Gothic" w:hAnsi="Arial Narrow"/>
      <w:color w:val="000000"/>
    </w:rPr>
    <w:tblPr>
      <w:tblStyleRowBandSize w:val="1"/>
      <w:tblStyleColBandSize w:val="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nwCell">
      <w:tblPr/>
      <w:tcPr>
        <w:shd w:val="clear" w:color="auto" w:fill="FFFFFF"/>
      </w:tcPr>
    </w:tblStylePr>
  </w:style>
  <w:style w:type="table" w:styleId="MediumShading2-Accent1">
    <w:name w:val="Medium Shading 2 Accent 1"/>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style>
  <w:style w:type="table" w:styleId="MediumShading2-Accent2">
    <w:name w:val="Medium Shading 2 Accent 2"/>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styleId="MediumShading2-Accent3">
    <w:name w:val="Medium Shading 2 Accent 3"/>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style>
  <w:style w:type="table" w:styleId="MediumShading2-Accent4">
    <w:name w:val="Medium Shading 2 Accent 4"/>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style>
  <w:style w:type="table" w:styleId="MediumShading2-Accent5">
    <w:name w:val="Medium Shading 2 Accent 5"/>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style>
  <w:style w:type="table" w:styleId="MediumShading2-Accent6">
    <w:name w:val="Medium Shading 2 Accent 6"/>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style>
  <w:style w:type="table" w:styleId="LightShading-Accent1">
    <w:name w:val="Light Shading Accent 1"/>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DarkList-Accent1">
    <w:name w:val="Dark List Accent 1"/>
    <w:basedOn w:val="TableNormal"/>
    <w:uiPriority w:val="7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3">
    <w:name w:val="Light Shading Accent 3"/>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4">
    <w:name w:val="Light Shading Accent 4"/>
    <w:basedOn w:val="TableNormal"/>
    <w:uiPriority w:val="60"/>
    <w:rsid w:val="005061E4"/>
    <w:rPr>
      <w:rFonts w:ascii="Arial Narrow" w:hAnsi="Arial Narrow"/>
      <w:color w:val="000000"/>
    </w:rPr>
    <w:tblPr>
      <w:tblStyleRowBandSize w:val="1"/>
      <w:tblStyleColBandSize w:val="1"/>
    </w:tblPr>
    <w:tcPr>
      <w:tcBorders>
        <w:top w:val="single" w:sz="8" w:space="0" w:color="9BBB59"/>
        <w:bottom w:val="single" w:sz="8" w:space="0" w:color="9BBB59"/>
      </w:tcBorders>
      <w:shd w:val="clear" w:color="auto" w:fill="E6EED5"/>
    </w:tcPr>
    <w:tblStylePr w:type="firstRow">
      <w:rPr>
        <w:rFonts w:ascii="New York" w:eastAsia="Helvetica" w:hAnsi="New York" w:cs="Times New Roman"/>
      </w:rPr>
      <w:tblPr/>
      <w:tcPr>
        <w:tcBorders>
          <w:top w:val="nil"/>
          <w:bottom w:val="single" w:sz="8" w:space="0" w:color="9BBB59"/>
        </w:tcBorders>
      </w:tcPr>
    </w:tblStylePr>
    <w:tblStylePr w:type="lastRow">
      <w:rPr>
        <w:b/>
        <w:bCs/>
        <w:color w:val="1F497D"/>
      </w:rPr>
    </w:tblStylePr>
    <w:tblStylePr w:type="firstCol">
      <w:rPr>
        <w:b/>
        <w:bCs/>
      </w:rPr>
    </w:tblStylePr>
    <w:tblStylePr w:type="lastCol">
      <w:rPr>
        <w:b/>
        <w:bCs/>
      </w:rPr>
    </w:tblStylePr>
  </w:style>
  <w:style w:type="table" w:styleId="LightShading-Accent5">
    <w:name w:val="Light Shading Accent 5"/>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6">
    <w:name w:val="Light Shading Accent 6"/>
    <w:basedOn w:val="TableNormal"/>
    <w:uiPriority w:val="60"/>
    <w:rsid w:val="005061E4"/>
    <w:rPr>
      <w:rFonts w:ascii="Arial Narrow" w:hAnsi="Arial Narrow"/>
      <w:color w:val="000000"/>
    </w:rPr>
    <w:tblPr>
      <w:tblStyleRowBandSize w:val="1"/>
      <w:tblStyleColBandSize w:val="1"/>
    </w:tblPr>
    <w:tcPr>
      <w:tcBorders>
        <w:top w:val="single" w:sz="8" w:space="0" w:color="4BACC6"/>
        <w:bottom w:val="single" w:sz="8" w:space="0" w:color="4BACC6"/>
      </w:tcBorders>
      <w:shd w:val="clear" w:color="auto" w:fill="D2EAF1"/>
    </w:tcPr>
    <w:tblStylePr w:type="firstRow">
      <w:rPr>
        <w:rFonts w:ascii="New York" w:eastAsia="Helvetica" w:hAnsi="New York" w:cs="Times New Roman"/>
      </w:rPr>
      <w:tblPr/>
      <w:tcPr>
        <w:tcBorders>
          <w:top w:val="nil"/>
          <w:bottom w:val="single" w:sz="8" w:space="0" w:color="4BACC6"/>
        </w:tcBorders>
      </w:tcPr>
    </w:tblStylePr>
    <w:tblStylePr w:type="lastRow">
      <w:rPr>
        <w:b/>
        <w:bCs/>
        <w:color w:val="1F497D"/>
      </w:rPr>
    </w:tblStylePr>
    <w:tblStylePr w:type="firstCol">
      <w:rPr>
        <w:b/>
        <w:bCs/>
      </w:rPr>
    </w:tblStylePr>
    <w:tblStylePr w:type="lastCol">
      <w:rPr>
        <w:b/>
        <w:bCs/>
      </w:rPr>
    </w:tblStylePr>
  </w:style>
  <w:style w:type="table" w:styleId="LightList-Accent1">
    <w:name w:val="Light List Accent 1"/>
    <w:basedOn w:val="TableNormal"/>
    <w:uiPriority w:val="61"/>
    <w:rsid w:val="005061E4"/>
    <w:rPr>
      <w:rFonts w:ascii="Arial Narrow" w:eastAsia="MS Gothic" w:hAnsi="Arial Narrow"/>
      <w:color w:val="000000"/>
    </w:rPr>
    <w:tblPr>
      <w:tblStyleRowBandSize w:val="1"/>
      <w:tblStyleColBandSize w:val="1"/>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List-Accent2">
    <w:name w:val="Light List Accent 2"/>
    <w:basedOn w:val="TableNormal"/>
    <w:uiPriority w:val="61"/>
    <w:rsid w:val="005061E4"/>
    <w:rPr>
      <w:rFonts w:ascii="Arial Narrow" w:eastAsia="MS Gothic" w:hAnsi="Arial Narrow"/>
      <w:color w:val="000000"/>
    </w:rPr>
    <w:tblPr>
      <w:tblStyleRowBandSize w:val="1"/>
      <w:tblStyleColBandSize w:val="1"/>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List-Accent3">
    <w:name w:val="Light List Accent 3"/>
    <w:basedOn w:val="TableNormal"/>
    <w:uiPriority w:val="61"/>
    <w:rsid w:val="005061E4"/>
    <w:rPr>
      <w:rFonts w:ascii="Arial Narrow" w:eastAsia="MS Gothic" w:hAnsi="Arial Narrow"/>
      <w:color w:val="000000"/>
    </w:rPr>
    <w:tblPr>
      <w:tblStyleRowBandSize w:val="1"/>
      <w:tblStyleColBandSize w:val="1"/>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1"/>
    <w:rsid w:val="005061E4"/>
    <w:rPr>
      <w:rFonts w:ascii="Arial Narrow" w:eastAsia="MS Gothic" w:hAnsi="Arial Narrow"/>
      <w:color w:val="000000"/>
    </w:rPr>
    <w:tblPr>
      <w:tblStyleRowBandSize w:val="1"/>
      <w:tblStyleColBandSize w:val="1"/>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1"/>
    <w:rsid w:val="005061E4"/>
    <w:rPr>
      <w:rFonts w:ascii="Arial Narrow" w:eastAsia="MS Gothic" w:hAnsi="Arial Narrow"/>
      <w:color w:val="000000"/>
    </w:rPr>
    <w:tblPr>
      <w:tblStyleRowBandSize w:val="1"/>
      <w:tblStyleColBandSize w:val="1"/>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1"/>
    <w:rsid w:val="005061E4"/>
    <w:rPr>
      <w:rFonts w:ascii="Arial Narrow" w:eastAsia="MS Gothic" w:hAnsi="Arial Narrow"/>
      <w:color w:val="000000"/>
    </w:rPr>
    <w:tblPr>
      <w:tblStyleRowBandSize w:val="1"/>
      <w:tblStyleColBandSize w:val="1"/>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ColorfulList">
    <w:name w:val="Colorful List"/>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2-Accent1">
    <w:name w:val="Medium Grid 2 Accent 1"/>
    <w:basedOn w:val="TableNormal"/>
    <w:uiPriority w:val="68"/>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2">
    <w:name w:val="Colorful List Accent 2"/>
    <w:basedOn w:val="TableNormal"/>
    <w:uiPriority w:val="72"/>
    <w:rsid w:val="005061E4"/>
    <w:rPr>
      <w:rFonts w:ascii="Arial Narrow" w:hAnsi="Arial Narrow"/>
    </w:rPr>
    <w:tblPr>
      <w:tblStyleRowBandSize w:val="1"/>
      <w:tblStyleColBandSize w:val="1"/>
    </w:tblPr>
    <w:tcPr>
      <w:tcBorders>
        <w:top w:val="double" w:sz="6" w:space="0" w:color="CF7B79"/>
        <w:left w:val="single" w:sz="8" w:space="0" w:color="CF7B79"/>
        <w:bottom w:val="single" w:sz="8" w:space="0" w:color="CF7B79"/>
        <w:right w:val="single" w:sz="8" w:space="0" w:color="CF7B79"/>
      </w:tcBorders>
    </w:tc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3">
    <w:name w:val="Colorful List Accent 3"/>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4">
    <w:name w:val="Colorful List Accent 4"/>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5">
    <w:name w:val="Colorful List Accent 5"/>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Grid">
    <w:name w:val="Colorful Grid"/>
    <w:basedOn w:val="TableNormal"/>
    <w:uiPriority w:val="73"/>
    <w:rsid w:val="005061E4"/>
    <w:rPr>
      <w:rFonts w:ascii="Arial Narrow" w:hAnsi="Arial Narrow"/>
    </w:rPr>
    <w:tblPr>
      <w:tblStyleRowBandSize w:val="1"/>
      <w:tblStyleColBandSize w:val="1"/>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5061E4"/>
    <w:rPr>
      <w:rFonts w:ascii="Arial Narrow" w:hAnsi="Arial Narrow"/>
    </w:rPr>
    <w:tblPr>
      <w:tblStyleRowBandSize w:val="1"/>
      <w:tblStyleColBandSize w:val="1"/>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73"/>
    <w:rsid w:val="005061E4"/>
    <w:rPr>
      <w:rFonts w:ascii="Arial Narrow" w:hAnsi="Arial Narrow"/>
    </w:rPr>
    <w:tblPr>
      <w:tblStyleRowBandSize w:val="1"/>
      <w:tblStyleColBandSize w:val="1"/>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73"/>
    <w:rsid w:val="005061E4"/>
    <w:rPr>
      <w:rFonts w:ascii="Arial Narrow" w:hAnsi="Arial Narrow"/>
    </w:rPr>
    <w:tblPr>
      <w:tblStyleRowBandSize w:val="1"/>
      <w:tblStyleColBandSize w:val="1"/>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5061E4"/>
    <w:rPr>
      <w:rFonts w:ascii="Arial Narrow" w:hAnsi="Arial Narrow"/>
    </w:rPr>
    <w:tblPr>
      <w:tblStyleRowBandSize w:val="1"/>
      <w:tblStyleColBandSize w:val="1"/>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5061E4"/>
    <w:rPr>
      <w:rFonts w:ascii="Arial Narrow" w:hAnsi="Arial Narrow"/>
    </w:rPr>
    <w:tblPr>
      <w:tblStyleRowBandSize w:val="1"/>
      <w:tblStyleColBandSize w:val="1"/>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rsid w:val="005061E4"/>
    <w:rPr>
      <w:rFonts w:ascii="Arial Narrow" w:hAnsi="Arial Narrow"/>
    </w:rPr>
    <w:tblPr/>
    <w:tcPr>
      <w:tcBorders>
        <w:left w:val="single" w:sz="6" w:space="0" w:color="FFFFFF"/>
      </w:tcBorders>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rsid w:val="005061E4"/>
    <w:rPr>
      <w:rFonts w:ascii="Arial Narrow" w:hAnsi="Arial Narrow"/>
    </w:rPr>
    <w:tblPr>
      <w:tblStyleRowBandSize w:val="1"/>
    </w:tblPr>
    <w:tcPr>
      <w:tcBorders>
        <w:bottom w:val="single" w:sz="6" w:space="0" w:color="FFFFFF"/>
        <w:right w:val="single" w:sz="6" w:space="0" w:color="808080"/>
      </w:tcBorders>
      <w:shd w:val="solid" w:color="C0C0C0" w:fill="FFFFFF"/>
    </w:tcPr>
    <w:tblStylePr w:type="firstRow">
      <w:rPr>
        <w:b/>
        <w:bCs/>
      </w:rPr>
    </w:tblStylePr>
    <w:tblStylePr w:type="swCell">
      <w:rPr>
        <w:b/>
        <w:bCs/>
      </w:rPr>
    </w:tblStylePr>
  </w:style>
  <w:style w:type="table" w:styleId="Table3Deffects3">
    <w:name w:val="Table 3D effects 3"/>
    <w:basedOn w:val="TableNormal"/>
    <w:rsid w:val="005061E4"/>
    <w:rPr>
      <w:rFonts w:ascii="Arial Narrow" w:hAnsi="Arial Narrow"/>
    </w:rPr>
    <w:tblPr/>
    <w:tblStylePr w:type="firstRow">
      <w:rPr>
        <w:b/>
        <w:bCs/>
      </w:rPr>
    </w:tblStylePr>
    <w:tblStylePr w:type="band2Vert">
      <w:rPr>
        <w:color w:val="auto"/>
      </w:rPr>
    </w:tblStylePr>
    <w:tblStylePr w:type="swCell">
      <w:rPr>
        <w:b/>
        <w:bCs/>
      </w:rPr>
    </w:tblStylePr>
  </w:style>
  <w:style w:type="table" w:styleId="TableClassic1">
    <w:name w:val="Table Classic 1"/>
    <w:basedOn w:val="TableNormal"/>
    <w:rsid w:val="005061E4"/>
    <w:rPr>
      <w:rFonts w:ascii="Arial Narrow" w:hAnsi="Arial Narrow"/>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cBorders>
      </w:tc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cPr>
      <w:shd w:val="clear" w:color="auto" w:fill="auto"/>
    </w:tcPr>
    <w:tblStylePr w:type="firstRow">
      <w:rPr>
        <w:color w:val="FFFFFF"/>
      </w:rPr>
      <w:tblPr/>
      <w:tcPr>
        <w:tcBorders>
          <w:bottom w:val="single" w:sz="6" w:space="0" w:color="000000"/>
        </w:tcBorders>
        <w:shd w:val="solid" w:color="800080" w:fill="FFFFFF"/>
      </w:tcPr>
    </w:tblStylePr>
    <w:tblStylePr w:type="firstCol">
      <w:rPr>
        <w:b/>
        <w:bCs/>
      </w:r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5061E4"/>
    <w:rPr>
      <w:rFonts w:ascii="Arial Narrow" w:hAnsi="Arial Narrow"/>
      <w:color w:val="000080"/>
    </w:rP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5061E4"/>
    <w:rPr>
      <w:rFonts w:ascii="Arial Narrow" w:hAnsi="Arial Narrow"/>
    </w:rP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rsid w:val="005061E4"/>
    <w:rPr>
      <w:rFonts w:ascii="Arial Narrow" w:hAnsi="Arial Narrow"/>
    </w:rP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rsid w:val="005061E4"/>
    <w:rPr>
      <w:rFonts w:ascii="Arial Narrow" w:hAnsi="Arial Narrow"/>
    </w:rPr>
    <w:tblPr/>
    <w:tblStylePr w:type="nwCell">
      <w:rPr>
        <w:b/>
        <w:bCs/>
        <w:color w:val="FFFFFF"/>
      </w:rPr>
    </w:tblStylePr>
  </w:style>
  <w:style w:type="table" w:styleId="TableColumns1">
    <w:name w:val="Table Columns 1"/>
    <w:basedOn w:val="TableNormal"/>
    <w:rsid w:val="005061E4"/>
    <w:rPr>
      <w:rFonts w:ascii="Arial Narrow" w:hAnsi="Arial Narrow"/>
      <w:b/>
      <w:bCs/>
    </w:rPr>
    <w:tblPr>
      <w:tblStyleColBandSize w:val="1"/>
    </w:tblPr>
    <w:tcPr>
      <w:shd w:val="pct25" w:color="000000" w:fill="FFFFFF"/>
    </w:tc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ColBandSize w:val="1"/>
    </w:tblPr>
    <w:tcPr>
      <w:shd w:val="solid" w:color="C0C0C0" w:fill="FFFFFF"/>
    </w:tc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rsid w:val="005061E4"/>
    <w:rPr>
      <w:rFonts w:ascii="Arial Narrow" w:hAnsi="Arial Narrow"/>
    </w:rPr>
    <w:tblPr/>
    <w:tblStylePr w:type="firstRow">
      <w:rPr>
        <w:color w:val="FFFFFF"/>
      </w:rPr>
    </w:tblStylePr>
    <w:tblStylePr w:type="lastRow">
      <w:rPr>
        <w:b/>
        <w:bCs/>
      </w:rPr>
    </w:tblStylePr>
    <w:tblStylePr w:type="lastCol">
      <w:rPr>
        <w:b/>
        <w:bCs/>
      </w:rPr>
    </w:tblStylePr>
    <w:tblStylePr w:type="band2Vert">
      <w:rPr>
        <w:color w:val="auto"/>
      </w:rPr>
    </w:tblStylePr>
  </w:style>
  <w:style w:type="table" w:styleId="TableGrid1">
    <w:name w:val="Table Grid 1"/>
    <w:basedOn w:val="TableNormal"/>
    <w:rsid w:val="005061E4"/>
    <w:rPr>
      <w:rFonts w:ascii="Arial Narrow" w:hAnsi="Arial Narrow"/>
    </w:rPr>
    <w:tbl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cPr>
      <w:tcBorders>
        <w:top w:val="single" w:sz="6" w:space="0" w:color="000000"/>
      </w:tcBorders>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cPr>
      <w:tcBorders>
        <w:top w:val="single" w:sz="6" w:space="0" w:color="000000"/>
      </w:tcBorders>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rsid w:val="005061E4"/>
    <w:rPr>
      <w:rFonts w:ascii="Arial Narrow" w:hAnsi="Arial Narrow"/>
    </w:rPr>
    <w:tblPr/>
    <w:tblStylePr w:type="lastRow">
      <w:rPr>
        <w:b/>
        <w:bCs/>
      </w:rPr>
    </w:tblStylePr>
    <w:tblStylePr w:type="lastCol">
      <w:rPr>
        <w:b/>
        <w:bCs/>
      </w:rPr>
    </w:tblStylePr>
  </w:style>
  <w:style w:type="table" w:styleId="TableGrid6">
    <w:name w:val="Table Grid 6"/>
    <w:basedOn w:val="TableNormal"/>
    <w:rsid w:val="005061E4"/>
    <w:rPr>
      <w:rFonts w:ascii="Arial Narrow" w:hAnsi="Arial Narrow"/>
    </w:rPr>
    <w:tblPr/>
    <w:tcPr>
      <w:shd w:val="clear" w:color="auto" w:fill="auto"/>
    </w:tcPr>
    <w:tblStylePr w:type="firstRow">
      <w:rPr>
        <w:b/>
        <w:bCs/>
      </w:rPr>
      <w:tblPr/>
      <w:tcPr>
        <w:tcBorders>
          <w:bottom w:val="single" w:sz="6" w:space="0" w:color="000000"/>
        </w:tcBorders>
      </w:tcPr>
    </w:tblStylePr>
    <w:tblStylePr w:type="lastRow">
      <w:rPr>
        <w:color w:val="auto"/>
      </w:r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rsid w:val="005061E4"/>
    <w:rPr>
      <w:rFonts w:ascii="Arial Narrow" w:hAnsi="Arial Narrow"/>
      <w:b/>
      <w:bC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style>
  <w:style w:type="table" w:styleId="TableGrid8">
    <w:name w:val="Table Grid 8"/>
    <w:basedOn w:val="TableNormal"/>
    <w:rsid w:val="005061E4"/>
    <w:rPr>
      <w:rFonts w:ascii="Arial Narrow" w:hAnsi="Arial Narrow"/>
    </w:rPr>
    <w:tblPr/>
    <w:tblStylePr w:type="firstRow">
      <w:rPr>
        <w:b/>
        <w:bCs/>
        <w:color w:val="FFFFFF"/>
      </w:r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StyleRowBandSize w:val="1"/>
    </w:tblPr>
    <w:tcPr>
      <w:shd w:val="solid" w:color="C0C0C0" w:fill="FFFFFF"/>
    </w:tcPr>
    <w:tblStylePr w:type="firstRow">
      <w:rPr>
        <w:b/>
        <w:bCs/>
        <w:i/>
        <w:iCs/>
        <w:color w:val="800000"/>
      </w:rPr>
      <w:tblPr/>
      <w:tcPr>
        <w:tcBorders>
          <w:bottom w:val="single" w:sz="6" w:space="0" w:color="000000"/>
        </w:tcBorders>
        <w:shd w:val="solid" w:color="C0C0C0" w:fill="FFFFFF"/>
      </w:tc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StyleRowBandSize w:val="2"/>
    </w:tblPr>
    <w:tcPr>
      <w:shd w:val="pct20" w:color="00FF00" w:fill="FFFFFF"/>
    </w:tcPr>
    <w:tblStylePr w:type="firstRow">
      <w:rPr>
        <w:b/>
        <w:bCs/>
        <w:color w:val="FFFFFF"/>
      </w:rPr>
      <w:tblPr/>
      <w:tcPr>
        <w:tcBorders>
          <w:bottom w:val="single" w:sz="6" w:space="0" w:color="000000"/>
        </w:tcBorders>
        <w:shd w:val="pct75" w:color="008080" w:fill="008000"/>
      </w:tc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StylePr w:type="firstRow">
      <w:rPr>
        <w:b/>
        <w:bCs/>
        <w:color w:val="000080"/>
      </w:rPr>
    </w:tblStylePr>
    <w:tblStylePr w:type="swCell">
      <w:rPr>
        <w:i/>
        <w:iCs/>
        <w:color w:val="000080"/>
      </w:rPr>
    </w:tblStylePr>
  </w:style>
  <w:style w:type="table" w:styleId="TableList4">
    <w:name w:val="Table List 4"/>
    <w:basedOn w:val="TableNormal"/>
    <w:rsid w:val="005061E4"/>
    <w:rPr>
      <w:rFonts w:ascii="Arial Narrow" w:hAnsi="Arial Narrow"/>
    </w:rPr>
    <w:tblPr/>
    <w:tblStylePr w:type="firstRow">
      <w:rPr>
        <w:b/>
        <w:bCs/>
        <w:color w:val="FFFFFF"/>
      </w:rPr>
    </w:tblStylePr>
  </w:style>
  <w:style w:type="table" w:styleId="TableList5">
    <w:name w:val="Table List 5"/>
    <w:basedOn w:val="TableNormal"/>
    <w:rsid w:val="005061E4"/>
    <w:rPr>
      <w:rFonts w:ascii="Arial Narrow" w:hAnsi="Arial Narrow"/>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rsid w:val="005061E4"/>
    <w:rPr>
      <w:rFonts w:ascii="Arial Narrow" w:hAnsi="Arial Narrow"/>
    </w:rPr>
    <w:tblPr/>
    <w:tblStylePr w:type="firstRow">
      <w:rPr>
        <w:b/>
        <w:bCs/>
      </w:rPr>
    </w:tblStylePr>
    <w:tblStylePr w:type="firstCol">
      <w:rPr>
        <w:b/>
        <w:bCs/>
      </w:rPr>
    </w:tblStylePr>
  </w:style>
  <w:style w:type="table" w:styleId="TableList7">
    <w:name w:val="Table List 7"/>
    <w:basedOn w:val="TableNormal"/>
    <w:rsid w:val="005061E4"/>
    <w:rPr>
      <w:rFonts w:ascii="Arial Narrow" w:hAnsi="Arial Narrow"/>
    </w:rPr>
    <w:tblPr>
      <w:tblStyleRowBandSize w:val="1"/>
    </w:tblPr>
    <w:tcPr>
      <w:tcBorders>
        <w:top w:val="single" w:sz="12" w:space="0" w:color="008000"/>
      </w:tcBorders>
      <w:shd w:val="pct20" w:color="000000" w:fill="FFFFFF"/>
    </w:tcPr>
    <w:tblStylePr w:type="firstRow">
      <w:rPr>
        <w:b/>
        <w:bCs/>
      </w:rPr>
      <w:tblPr/>
      <w:tcPr>
        <w:tcBorders>
          <w:bottom w:val="single" w:sz="12" w:space="0" w:color="008000"/>
        </w:tcBorders>
        <w:shd w:val="solid" w:color="C0C0C0" w:fill="FFFFFF"/>
      </w:tc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rsid w:val="005061E4"/>
    <w:rPr>
      <w:rFonts w:ascii="Arial Narrow" w:hAnsi="Arial Narrow"/>
    </w:rPr>
    <w:tblPr>
      <w:tblStyleRowBandSize w:val="1"/>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StylePr>
    <w:tblStylePr w:type="band2Horz">
      <w:tblPr/>
      <w:tcPr>
        <w:shd w:val="pct50" w:color="FF0000" w:fill="FFFFFF"/>
      </w:tcPr>
    </w:tblStylePr>
  </w:style>
  <w:style w:type="table" w:styleId="TableSimple1">
    <w:name w:val="Table Simple 1"/>
    <w:basedOn w:val="TableNormal"/>
    <w:rsid w:val="005061E4"/>
    <w:rPr>
      <w:rFonts w:ascii="Arial Narrow" w:hAnsi="Arial Narrow"/>
    </w:rPr>
    <w:tblPr/>
  </w:style>
  <w:style w:type="table" w:styleId="TableSimple2">
    <w:name w:val="Table Simple 2"/>
    <w:basedOn w:val="TableNormal"/>
    <w:rsid w:val="005061E4"/>
    <w:rPr>
      <w:rFonts w:ascii="Arial Narrow" w:hAnsi="Arial Narrow"/>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rsid w:val="005061E4"/>
    <w:rPr>
      <w:rFonts w:ascii="Arial Narrow" w:hAnsi="Arial Narrow"/>
    </w:rPr>
    <w:tblPr/>
    <w:tblStylePr w:type="firstRow">
      <w:rPr>
        <w:b/>
        <w:bCs/>
        <w:color w:val="FFFFFF"/>
      </w:rPr>
    </w:tblStylePr>
  </w:style>
  <w:style w:type="table" w:styleId="TableSubtle1">
    <w:name w:val="Table Subtle 1"/>
    <w:basedOn w:val="TableNormal"/>
    <w:rsid w:val="005061E4"/>
    <w:rPr>
      <w:rFonts w:ascii="Arial Narrow" w:hAnsi="Arial Narrow"/>
    </w:rPr>
    <w:tblPr>
      <w:tblStyleRowBandSize w:val="1"/>
    </w:tblPr>
    <w:tcPr>
      <w:tcBorders>
        <w:left w:val="single" w:sz="12" w:space="0" w:color="000000"/>
        <w:right w:val="single" w:sz="12" w:space="0" w:color="000000"/>
      </w:tcBorders>
    </w:tc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cPr>
      <w:tcBorders>
        <w:top w:val="single" w:sz="12" w:space="0" w:color="000000"/>
        <w:left w:val="single" w:sz="12" w:space="0" w:color="000000"/>
      </w:tcBorders>
      <w:shd w:val="pct25" w:color="808000" w:fill="FFFFFF"/>
    </w:tcPr>
    <w:tblStylePr w:type="firstRow">
      <w:tblPr/>
      <w:tcPr>
        <w:tcBorders>
          <w:bottom w:val="single" w:sz="12" w:space="0" w:color="000000"/>
        </w:tcBorders>
      </w:tcPr>
    </w:tblStyle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style>
  <w:style w:type="table" w:styleId="TableWeb1">
    <w:name w:val="Table Web 1"/>
    <w:basedOn w:val="TableNormal"/>
    <w:rsid w:val="005061E4"/>
    <w:rPr>
      <w:rFonts w:ascii="Arial Narrow" w:hAnsi="Arial Narrow"/>
    </w:rPr>
    <w:tblPr/>
    <w:tblStylePr w:type="firstRow">
      <w:rPr>
        <w:color w:val="auto"/>
      </w:rPr>
    </w:tblStylePr>
  </w:style>
  <w:style w:type="table" w:styleId="TableWeb2">
    <w:name w:val="Table Web 2"/>
    <w:basedOn w:val="TableNormal"/>
    <w:rsid w:val="005061E4"/>
    <w:rPr>
      <w:rFonts w:ascii="Arial Narrow" w:hAnsi="Arial Narrow"/>
    </w:rPr>
    <w:tblPr/>
    <w:tblStylePr w:type="firstRow">
      <w:rPr>
        <w:color w:val="auto"/>
      </w:rPr>
    </w:tblStylePr>
  </w:style>
  <w:style w:type="table" w:styleId="TableWeb3">
    <w:name w:val="Table Web 3"/>
    <w:basedOn w:val="TableNormal"/>
    <w:rsid w:val="005061E4"/>
    <w:rPr>
      <w:rFonts w:ascii="Arial Narrow" w:hAnsi="Arial Narrow"/>
    </w:rPr>
    <w:tblPr/>
    <w:tblStylePr w:type="firstRow">
      <w:rPr>
        <w:color w:val="auto"/>
      </w:rPr>
    </w:tblStylePr>
  </w:style>
  <w:style w:type="paragraph" w:styleId="TOCHeading">
    <w:name w:val="TOC Heading"/>
    <w:basedOn w:val="Heading2"/>
    <w:next w:val="Normal"/>
    <w:uiPriority w:val="39"/>
    <w:qFormat/>
    <w:rsid w:val="005968FC"/>
    <w:pPr>
      <w:outlineLvl w:val="9"/>
    </w:pPr>
    <w:rPr>
      <w:bCs w:val="0"/>
    </w:rPr>
  </w:style>
  <w:style w:type="paragraph" w:customStyle="1" w:styleId="WCCtableheaderonblackcell">
    <w:name w:val="WCC table header on black cell"/>
    <w:basedOn w:val="Normal"/>
    <w:uiPriority w:val="9"/>
    <w:semiHidden/>
    <w:rsid w:val="008D44EB"/>
    <w:rPr>
      <w:b/>
      <w:color w:val="FFFFFF"/>
    </w:rPr>
  </w:style>
  <w:style w:type="paragraph" w:customStyle="1" w:styleId="WCCPDWCCnumber">
    <w:name w:val="WCC PDWCC number"/>
    <w:basedOn w:val="Normal"/>
    <w:uiPriority w:val="9"/>
    <w:semiHidden/>
    <w:rsid w:val="008D44EB"/>
    <w:pPr>
      <w:jc w:val="right"/>
    </w:pPr>
    <w:rPr>
      <w:b/>
      <w:sz w:val="10"/>
      <w:szCs w:val="8"/>
    </w:rPr>
  </w:style>
  <w:style w:type="paragraph" w:customStyle="1" w:styleId="WCCCoverSubtitle">
    <w:name w:val="WCC Cover Subtitle"/>
    <w:basedOn w:val="WCCFormheader"/>
    <w:link w:val="WCCCoverSubtitleChar"/>
    <w:uiPriority w:val="9"/>
    <w:semiHidden/>
    <w:rsid w:val="00AB0BF7"/>
    <w:pPr>
      <w:spacing w:line="300" w:lineRule="exact"/>
    </w:pPr>
    <w:rPr>
      <w:sz w:val="26"/>
      <w:szCs w:val="26"/>
    </w:rPr>
  </w:style>
  <w:style w:type="character" w:customStyle="1" w:styleId="WCCCoverSubtitleChar">
    <w:name w:val="WCC Cover Subtitle Char"/>
    <w:link w:val="WCCCoverSubtitle"/>
    <w:uiPriority w:val="9"/>
    <w:semiHidden/>
    <w:rsid w:val="00404EF8"/>
    <w:rPr>
      <w:rFonts w:asciiTheme="majorHAnsi" w:eastAsia="MS Gothic" w:hAnsiTheme="majorHAnsi"/>
      <w:b/>
      <w:bCs/>
      <w:color w:val="3C3C3B"/>
      <w:kern w:val="32"/>
      <w:sz w:val="26"/>
      <w:szCs w:val="26"/>
    </w:rPr>
  </w:style>
  <w:style w:type="paragraph" w:customStyle="1" w:styleId="WCCCoverHeader">
    <w:name w:val="WCC Cover Header"/>
    <w:basedOn w:val="Normal"/>
    <w:link w:val="WCCCoverHeaderChar"/>
    <w:uiPriority w:val="9"/>
    <w:semiHidden/>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404EF8"/>
    <w:rPr>
      <w:rFonts w:ascii="Georgia" w:eastAsia="MS Gothic" w:hAnsi="Georgia"/>
      <w:b/>
      <w:bCs/>
      <w:caps/>
      <w:color w:val="FFFFFF"/>
      <w:kern w:val="32"/>
      <w:sz w:val="48"/>
      <w:szCs w:val="48"/>
    </w:rPr>
  </w:style>
  <w:style w:type="paragraph" w:customStyle="1" w:styleId="WCCDocumentHeader">
    <w:name w:val="WCC Document Header"/>
    <w:basedOn w:val="WCCCoverHeader"/>
    <w:link w:val="WCCDocumentHeaderChar"/>
    <w:uiPriority w:val="9"/>
    <w:semiHidden/>
    <w:rsid w:val="004F7CFE"/>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404EF8"/>
    <w:rPr>
      <w:rFonts w:ascii="Georgia" w:eastAsia="MS Gothic" w:hAnsi="Georgia"/>
      <w:b/>
      <w:bCs/>
      <w:color w:val="3C3C3B"/>
      <w:kern w:val="32"/>
      <w:sz w:val="36"/>
      <w:szCs w:val="36"/>
    </w:rPr>
  </w:style>
  <w:style w:type="paragraph" w:customStyle="1" w:styleId="WCCDocumentsubtitle">
    <w:name w:val="WCC Document subtitle"/>
    <w:basedOn w:val="WCCCoverSubtitle"/>
    <w:link w:val="WCCDocumentsubtitleChar"/>
    <w:uiPriority w:val="9"/>
    <w:semiHidden/>
    <w:rsid w:val="00AB0BF7"/>
  </w:style>
  <w:style w:type="character" w:customStyle="1" w:styleId="WCCDocumentsubtitleChar">
    <w:name w:val="WCC Document subtitle Char"/>
    <w:link w:val="WCCDocumentsubtitle"/>
    <w:uiPriority w:val="9"/>
    <w:semiHidden/>
    <w:rsid w:val="00404EF8"/>
    <w:rPr>
      <w:rFonts w:asciiTheme="majorHAnsi" w:eastAsia="MS Gothic" w:hAnsiTheme="majorHAnsi"/>
      <w:b/>
      <w:bCs/>
      <w:color w:val="3C3C3B"/>
      <w:kern w:val="32"/>
      <w:sz w:val="26"/>
      <w:szCs w:val="26"/>
    </w:rPr>
  </w:style>
  <w:style w:type="paragraph" w:styleId="BodyText">
    <w:name w:val="Body Text"/>
    <w:basedOn w:val="Normal"/>
    <w:link w:val="BodyTextChar"/>
    <w:uiPriority w:val="99"/>
    <w:semiHidden/>
    <w:rsid w:val="00491FE8"/>
    <w:pPr>
      <w:spacing w:after="120"/>
    </w:pPr>
  </w:style>
  <w:style w:type="character" w:customStyle="1" w:styleId="BodyTextChar">
    <w:name w:val="Body Text Char"/>
    <w:basedOn w:val="DefaultParagraphFont"/>
    <w:link w:val="BodyText"/>
    <w:uiPriority w:val="99"/>
    <w:semiHidden/>
    <w:rsid w:val="00A82721"/>
  </w:style>
  <w:style w:type="character" w:styleId="PageNumber">
    <w:name w:val="page number"/>
    <w:basedOn w:val="FootertextChar"/>
    <w:uiPriority w:val="99"/>
    <w:unhideWhenUsed/>
    <w:rsid w:val="007431F4"/>
    <w:rPr>
      <w:rFonts w:asciiTheme="minorHAnsi" w:hAnsiTheme="minorHAnsi"/>
      <w:sz w:val="16"/>
    </w:rPr>
  </w:style>
  <w:style w:type="paragraph" w:customStyle="1" w:styleId="Body">
    <w:name w:val="Body"/>
    <w:basedOn w:val="Normal"/>
    <w:qFormat/>
    <w:rsid w:val="00606A1F"/>
    <w:pPr>
      <w:spacing w:after="120"/>
    </w:pPr>
  </w:style>
  <w:style w:type="paragraph" w:styleId="TOC1">
    <w:name w:val="toc 1"/>
    <w:basedOn w:val="Normal"/>
    <w:next w:val="Normal"/>
    <w:autoRedefine/>
    <w:uiPriority w:val="39"/>
    <w:rsid w:val="00C9324D"/>
    <w:pPr>
      <w:tabs>
        <w:tab w:val="right" w:leader="dot" w:pos="9633"/>
      </w:tabs>
      <w:spacing w:after="100"/>
    </w:pPr>
    <w:rPr>
      <w:b/>
      <w:bCs/>
      <w:sz w:val="28"/>
    </w:rPr>
  </w:style>
  <w:style w:type="paragraph" w:styleId="TOC2">
    <w:name w:val="toc 2"/>
    <w:basedOn w:val="Normal"/>
    <w:next w:val="Normal"/>
    <w:autoRedefine/>
    <w:uiPriority w:val="39"/>
    <w:unhideWhenUsed/>
    <w:rsid w:val="003B36B7"/>
    <w:pPr>
      <w:tabs>
        <w:tab w:val="right" w:leader="dot" w:pos="9633"/>
      </w:tabs>
      <w:spacing w:after="100"/>
      <w:ind w:left="240"/>
    </w:pPr>
    <w:rPr>
      <w:sz w:val="24"/>
    </w:rPr>
  </w:style>
  <w:style w:type="paragraph" w:customStyle="1" w:styleId="aBodyBulletsALPHAL2">
    <w:name w:val="a) Body Bullets ALPHA L2"/>
    <w:basedOn w:val="Body"/>
    <w:qFormat/>
    <w:rsid w:val="00EA79EB"/>
    <w:pPr>
      <w:numPr>
        <w:numId w:val="5"/>
      </w:numPr>
      <w:ind w:left="697" w:hanging="357"/>
    </w:pPr>
  </w:style>
  <w:style w:type="character" w:styleId="Hyperlink">
    <w:name w:val="Hyperlink"/>
    <w:basedOn w:val="DefaultParagraphFont"/>
    <w:uiPriority w:val="99"/>
    <w:rsid w:val="00D726BB"/>
    <w:rPr>
      <w:rFonts w:ascii="Arial" w:hAnsi="Arial"/>
      <w:noProof/>
      <w:color w:val="auto"/>
      <w:sz w:val="22"/>
      <w:u w:val="none"/>
    </w:rPr>
  </w:style>
  <w:style w:type="paragraph" w:customStyle="1" w:styleId="Footertext">
    <w:name w:val="Footer text"/>
    <w:basedOn w:val="Footer"/>
    <w:link w:val="FootertextChar"/>
    <w:uiPriority w:val="99"/>
    <w:rsid w:val="00F0412C"/>
    <w:pPr>
      <w:spacing w:before="160"/>
      <w:jc w:val="right"/>
    </w:pPr>
  </w:style>
  <w:style w:type="character" w:customStyle="1" w:styleId="FootertextChar">
    <w:name w:val="Footer text Char"/>
    <w:basedOn w:val="FooterChar"/>
    <w:link w:val="Footertext"/>
    <w:uiPriority w:val="99"/>
    <w:rsid w:val="00F0412C"/>
    <w:rPr>
      <w:rFonts w:asciiTheme="minorHAnsi" w:hAnsiTheme="minorHAnsi"/>
      <w:sz w:val="16"/>
    </w:rPr>
  </w:style>
  <w:style w:type="paragraph" w:customStyle="1" w:styleId="TableHeading">
    <w:name w:val="Table Heading"/>
    <w:basedOn w:val="Body"/>
    <w:uiPriority w:val="7"/>
    <w:qFormat/>
    <w:rsid w:val="00E23F63"/>
    <w:pPr>
      <w:spacing w:before="120" w:line="200" w:lineRule="atLeast"/>
    </w:pPr>
    <w:rPr>
      <w:rFonts w:ascii="Arial" w:hAnsi="Arial"/>
      <w:b/>
      <w:color w:val="000000" w:themeColor="text1"/>
    </w:rPr>
  </w:style>
  <w:style w:type="paragraph" w:customStyle="1" w:styleId="TableBody">
    <w:name w:val="Table Body"/>
    <w:basedOn w:val="Normal"/>
    <w:uiPriority w:val="7"/>
    <w:qFormat/>
    <w:rsid w:val="00EA79EB"/>
    <w:pPr>
      <w:spacing w:before="113" w:after="113" w:line="200" w:lineRule="atLeast"/>
    </w:pPr>
    <w:rPr>
      <w:sz w:val="20"/>
    </w:rPr>
  </w:style>
  <w:style w:type="paragraph" w:customStyle="1" w:styleId="TableSubheading">
    <w:name w:val="Table Subheading"/>
    <w:basedOn w:val="TableHeading"/>
    <w:uiPriority w:val="7"/>
    <w:qFormat/>
    <w:rsid w:val="00E23F63"/>
    <w:rPr>
      <w:sz w:val="20"/>
    </w:rPr>
  </w:style>
  <w:style w:type="table" w:customStyle="1" w:styleId="WCCLTP2">
    <w:name w:val="WCC LTP 2"/>
    <w:basedOn w:val="WCCLTP1"/>
    <w:uiPriority w:val="99"/>
    <w:rsid w:val="003C3BF4"/>
    <w:tblPr>
      <w:tblBorders>
        <w:insideH w:val="single" w:sz="4" w:space="0" w:color="auto"/>
      </w:tblBorders>
    </w:tblPr>
    <w:tcPr>
      <w:tcBorders>
        <w:insideH w:val="none" w:sz="0" w:space="0" w:color="auto"/>
        <w:insideV w:val="none" w:sz="0" w:space="0" w:color="auto"/>
        <w:tl2br w:val="none" w:sz="0" w:space="0" w:color="auto"/>
        <w:tr2bl w:val="none" w:sz="0" w:space="0" w:color="auto"/>
      </w:tcBorders>
      <w:shd w:val="clear" w:color="auto" w:fill="auto"/>
    </w:tcPr>
    <w:tblStylePr w:type="firstRow">
      <w:rPr>
        <w:rFonts w:asciiTheme="majorHAnsi" w:hAnsiTheme="majorHAnsi"/>
        <w:b/>
      </w:rPr>
      <w:tblPr/>
      <w:tcPr>
        <w:shd w:val="clear" w:color="auto" w:fill="FFDD00"/>
      </w:tcPr>
    </w:tblStylePr>
  </w:style>
  <w:style w:type="paragraph" w:styleId="TOC3">
    <w:name w:val="toc 3"/>
    <w:basedOn w:val="Normal"/>
    <w:next w:val="Normal"/>
    <w:autoRedefine/>
    <w:uiPriority w:val="39"/>
    <w:unhideWhenUsed/>
    <w:rsid w:val="003B36B7"/>
    <w:pPr>
      <w:spacing w:after="100"/>
      <w:ind w:left="440"/>
    </w:pPr>
    <w:rPr>
      <w:sz w:val="24"/>
    </w:rPr>
  </w:style>
  <w:style w:type="paragraph" w:customStyle="1" w:styleId="CaptionNotes">
    <w:name w:val="Caption/Notes"/>
    <w:uiPriority w:val="8"/>
    <w:qFormat/>
    <w:rsid w:val="007E3146"/>
    <w:pPr>
      <w:spacing w:before="120" w:after="240" w:line="200" w:lineRule="atLeast"/>
    </w:pPr>
    <w:rPr>
      <w:sz w:val="16"/>
    </w:rPr>
  </w:style>
  <w:style w:type="paragraph" w:customStyle="1" w:styleId="1Bullets">
    <w:name w:val="1. Bullets"/>
    <w:basedOn w:val="aBodyBulletsALPHAL2"/>
    <w:rsid w:val="003D1F86"/>
    <w:pPr>
      <w:numPr>
        <w:numId w:val="6"/>
      </w:numPr>
    </w:pPr>
  </w:style>
  <w:style w:type="paragraph" w:customStyle="1" w:styleId="aBodyBULLETALPHAL1">
    <w:name w:val="a. Body BULLET ALPHA L1"/>
    <w:basedOn w:val="1Bullets"/>
    <w:qFormat/>
    <w:rsid w:val="003D1F86"/>
    <w:pPr>
      <w:numPr>
        <w:numId w:val="4"/>
      </w:numPr>
    </w:pPr>
  </w:style>
  <w:style w:type="paragraph" w:customStyle="1" w:styleId="111Bulletsnumbers">
    <w:name w:val="1 1.1 Bullets numbers"/>
    <w:basedOn w:val="1Bullets"/>
    <w:qFormat/>
    <w:rsid w:val="00CF5BD7"/>
    <w:pPr>
      <w:numPr>
        <w:numId w:val="7"/>
      </w:numPr>
    </w:pPr>
  </w:style>
  <w:style w:type="paragraph" w:customStyle="1" w:styleId="BodyBulletL2">
    <w:name w:val="Body Bullet L2"/>
    <w:basedOn w:val="Normal"/>
    <w:qFormat/>
    <w:rsid w:val="00606A1F"/>
    <w:pPr>
      <w:numPr>
        <w:numId w:val="8"/>
      </w:numPr>
      <w:spacing w:before="120" w:after="120"/>
    </w:pPr>
  </w:style>
  <w:style w:type="numbering" w:styleId="111111">
    <w:name w:val="Outline List 2"/>
    <w:basedOn w:val="NoList"/>
    <w:semiHidden/>
    <w:unhideWhenUsed/>
    <w:rsid w:val="003B36B7"/>
    <w:pPr>
      <w:numPr>
        <w:numId w:val="18"/>
      </w:numPr>
    </w:pPr>
  </w:style>
  <w:style w:type="paragraph" w:customStyle="1" w:styleId="BodyBulletsALPHAL2">
    <w:name w:val="Body Bullets ALPHA L2"/>
    <w:basedOn w:val="aBodyBulletsALPHAL2"/>
    <w:qFormat/>
    <w:rsid w:val="00EA79EB"/>
    <w:pPr>
      <w:ind w:left="680"/>
    </w:pPr>
  </w:style>
  <w:style w:type="paragraph" w:customStyle="1" w:styleId="BodyBulletL3">
    <w:name w:val="Body Bullet L3"/>
    <w:basedOn w:val="BodyBulletL2"/>
    <w:qFormat/>
    <w:rsid w:val="00606A1F"/>
    <w:pPr>
      <w:numPr>
        <w:numId w:val="9"/>
      </w:numPr>
    </w:pPr>
  </w:style>
  <w:style w:type="paragraph" w:customStyle="1" w:styleId="BodyBulletL1">
    <w:name w:val="Body Bullet L1"/>
    <w:basedOn w:val="aBodyBulletsALPHAL2"/>
    <w:qFormat/>
    <w:rsid w:val="00EA79EB"/>
    <w:pPr>
      <w:numPr>
        <w:numId w:val="10"/>
      </w:numPr>
    </w:pPr>
  </w:style>
  <w:style w:type="character" w:customStyle="1" w:styleId="NoSpacingChar">
    <w:name w:val="No Spacing Char"/>
    <w:basedOn w:val="DefaultParagraphFont"/>
    <w:link w:val="NoSpacing"/>
    <w:uiPriority w:val="1"/>
    <w:rsid w:val="00BE25BA"/>
  </w:style>
  <w:style w:type="paragraph" w:customStyle="1" w:styleId="DocumentTItle">
    <w:name w:val="Document TItle"/>
    <w:basedOn w:val="Heading1"/>
    <w:qFormat/>
    <w:rsid w:val="007E3146"/>
    <w:pPr>
      <w:spacing w:after="120"/>
    </w:pPr>
    <w:rPr>
      <w:sz w:val="56"/>
      <w:lang w:val="en-AU"/>
    </w:rPr>
  </w:style>
  <w:style w:type="paragraph" w:customStyle="1" w:styleId="Documentsubtitle">
    <w:name w:val="Document sub title"/>
    <w:basedOn w:val="Body"/>
    <w:rsid w:val="00571FA7"/>
    <w:pPr>
      <w:ind w:right="2262"/>
    </w:pPr>
    <w:rPr>
      <w:b/>
      <w:sz w:val="24"/>
    </w:rPr>
  </w:style>
  <w:style w:type="character" w:styleId="UnresolvedMention">
    <w:name w:val="Unresolved Mention"/>
    <w:basedOn w:val="DefaultParagraphFont"/>
    <w:uiPriority w:val="99"/>
    <w:semiHidden/>
    <w:unhideWhenUsed/>
    <w:rsid w:val="00587CD4"/>
    <w:rPr>
      <w:color w:val="605E5C"/>
      <w:shd w:val="clear" w:color="auto" w:fill="E1DFDD"/>
    </w:rPr>
  </w:style>
  <w:style w:type="paragraph" w:styleId="Caption">
    <w:name w:val="caption"/>
    <w:basedOn w:val="Normal"/>
    <w:next w:val="Normal"/>
    <w:uiPriority w:val="3"/>
    <w:unhideWhenUsed/>
    <w:qFormat/>
    <w:rsid w:val="00D74A7B"/>
    <w:pPr>
      <w:spacing w:after="200"/>
    </w:pPr>
    <w:rPr>
      <w:i/>
      <w:iCs/>
      <w:color w:val="454752" w:themeColor="text2"/>
      <w:sz w:val="18"/>
      <w:szCs w:val="18"/>
    </w:rPr>
  </w:style>
  <w:style w:type="paragraph" w:styleId="ListParagraph">
    <w:name w:val="List Paragraph"/>
    <w:basedOn w:val="Normal"/>
    <w:uiPriority w:val="34"/>
    <w:unhideWhenUsed/>
    <w:qFormat/>
    <w:rsid w:val="00FE54F6"/>
    <w:pPr>
      <w:ind w:left="720"/>
      <w:contextualSpacing/>
    </w:pPr>
  </w:style>
  <w:style w:type="character" w:styleId="CommentReference">
    <w:name w:val="annotation reference"/>
    <w:basedOn w:val="DefaultParagraphFont"/>
    <w:uiPriority w:val="99"/>
    <w:semiHidden/>
    <w:unhideWhenUsed/>
    <w:rsid w:val="000F1A61"/>
    <w:rPr>
      <w:sz w:val="16"/>
      <w:szCs w:val="16"/>
    </w:rPr>
  </w:style>
  <w:style w:type="paragraph" w:styleId="CommentText">
    <w:name w:val="annotation text"/>
    <w:basedOn w:val="Normal"/>
    <w:link w:val="CommentTextChar"/>
    <w:uiPriority w:val="99"/>
    <w:unhideWhenUsed/>
    <w:rsid w:val="000F1A61"/>
    <w:rPr>
      <w:sz w:val="20"/>
      <w:szCs w:val="20"/>
    </w:rPr>
  </w:style>
  <w:style w:type="character" w:customStyle="1" w:styleId="CommentTextChar">
    <w:name w:val="Comment Text Char"/>
    <w:basedOn w:val="DefaultParagraphFont"/>
    <w:link w:val="CommentText"/>
    <w:uiPriority w:val="99"/>
    <w:rsid w:val="000F1A61"/>
    <w:rPr>
      <w:sz w:val="20"/>
      <w:szCs w:val="20"/>
    </w:rPr>
  </w:style>
  <w:style w:type="paragraph" w:styleId="CommentSubject">
    <w:name w:val="annotation subject"/>
    <w:basedOn w:val="CommentText"/>
    <w:next w:val="CommentText"/>
    <w:link w:val="CommentSubjectChar"/>
    <w:uiPriority w:val="99"/>
    <w:semiHidden/>
    <w:unhideWhenUsed/>
    <w:rsid w:val="000F1A61"/>
    <w:rPr>
      <w:b/>
      <w:bCs/>
    </w:rPr>
  </w:style>
  <w:style w:type="character" w:customStyle="1" w:styleId="CommentSubjectChar">
    <w:name w:val="Comment Subject Char"/>
    <w:basedOn w:val="CommentTextChar"/>
    <w:link w:val="CommentSubject"/>
    <w:uiPriority w:val="99"/>
    <w:semiHidden/>
    <w:rsid w:val="000F1A61"/>
    <w:rPr>
      <w:b/>
      <w:bCs/>
      <w:sz w:val="20"/>
      <w:szCs w:val="20"/>
    </w:rPr>
  </w:style>
  <w:style w:type="paragraph" w:styleId="Title">
    <w:name w:val="Title"/>
    <w:basedOn w:val="Normal"/>
    <w:next w:val="Normal"/>
    <w:link w:val="TitleChar"/>
    <w:rsid w:val="001709A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709AF"/>
    <w:rPr>
      <w:rFonts w:asciiTheme="majorHAnsi" w:eastAsiaTheme="majorEastAsia" w:hAnsiTheme="majorHAnsi" w:cstheme="majorBidi"/>
      <w:spacing w:val="-10"/>
      <w:kern w:val="28"/>
      <w:sz w:val="56"/>
      <w:szCs w:val="56"/>
    </w:rPr>
  </w:style>
  <w:style w:type="character" w:styleId="Mention">
    <w:name w:val="Mention"/>
    <w:basedOn w:val="DefaultParagraphFont"/>
    <w:uiPriority w:val="99"/>
    <w:unhideWhenUsed/>
    <w:rsid w:val="005D25EE"/>
    <w:rPr>
      <w:color w:val="2B579A"/>
      <w:shd w:val="clear" w:color="auto" w:fill="E1DFDD"/>
    </w:rPr>
  </w:style>
  <w:style w:type="paragraph" w:styleId="FootnoteText">
    <w:name w:val="footnote text"/>
    <w:basedOn w:val="Normal"/>
    <w:link w:val="FootnoteTextChar"/>
    <w:uiPriority w:val="99"/>
    <w:semiHidden/>
    <w:unhideWhenUsed/>
    <w:rsid w:val="00B218B0"/>
    <w:rPr>
      <w:sz w:val="20"/>
      <w:szCs w:val="20"/>
    </w:rPr>
  </w:style>
  <w:style w:type="character" w:customStyle="1" w:styleId="FootnoteTextChar">
    <w:name w:val="Footnote Text Char"/>
    <w:basedOn w:val="DefaultParagraphFont"/>
    <w:link w:val="FootnoteText"/>
    <w:uiPriority w:val="99"/>
    <w:semiHidden/>
    <w:rsid w:val="00B218B0"/>
    <w:rPr>
      <w:sz w:val="20"/>
      <w:szCs w:val="20"/>
    </w:rPr>
  </w:style>
  <w:style w:type="character" w:styleId="FootnoteReference">
    <w:name w:val="footnote reference"/>
    <w:basedOn w:val="DefaultParagraphFont"/>
    <w:uiPriority w:val="99"/>
    <w:semiHidden/>
    <w:unhideWhenUsed/>
    <w:rsid w:val="00B218B0"/>
    <w:rPr>
      <w:vertAlign w:val="superscript"/>
    </w:rPr>
  </w:style>
  <w:style w:type="paragraph" w:styleId="Revision">
    <w:name w:val="Revision"/>
    <w:hidden/>
    <w:uiPriority w:val="99"/>
    <w:semiHidden/>
    <w:rsid w:val="00AD03FA"/>
  </w:style>
  <w:style w:type="paragraph" w:styleId="Subtitle">
    <w:name w:val="Subtitle"/>
    <w:basedOn w:val="Normal"/>
    <w:next w:val="Normal"/>
    <w:link w:val="SubtitleChar"/>
    <w:rsid w:val="000B3288"/>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rsid w:val="000B3288"/>
    <w:rPr>
      <w:rFonts w:eastAsiaTheme="minorEastAsia" w:cstheme="minorBidi"/>
      <w:color w:val="5A5A5A" w:themeColor="text1" w:themeTint="A5"/>
      <w:spacing w:val="15"/>
    </w:rPr>
  </w:style>
  <w:style w:type="table" w:styleId="ListTable3-Accent1">
    <w:name w:val="List Table 3 Accent 1"/>
    <w:basedOn w:val="TableNormal"/>
    <w:uiPriority w:val="48"/>
    <w:tblPr>
      <w:tblStyleRowBandSize w:val="1"/>
      <w:tblStyleColBandSize w:val="1"/>
      <w:tblBorders>
        <w:top w:val="single" w:sz="4" w:space="0" w:color="FFDE00" w:themeColor="accent1"/>
        <w:left w:val="single" w:sz="4" w:space="0" w:color="FFDE00" w:themeColor="accent1"/>
        <w:bottom w:val="single" w:sz="4" w:space="0" w:color="FFDE00" w:themeColor="accent1"/>
        <w:right w:val="single" w:sz="4" w:space="0" w:color="FFDE00" w:themeColor="accent1"/>
      </w:tblBorders>
    </w:tblPr>
    <w:tblStylePr w:type="firstRow">
      <w:rPr>
        <w:b/>
        <w:bCs/>
        <w:color w:val="FFFFFF" w:themeColor="background1"/>
      </w:rPr>
      <w:tblPr/>
      <w:tcPr>
        <w:shd w:val="clear" w:color="auto" w:fill="FFDE00" w:themeFill="accent1"/>
      </w:tcPr>
    </w:tblStylePr>
    <w:tblStylePr w:type="lastRow">
      <w:rPr>
        <w:b/>
        <w:bCs/>
      </w:rPr>
      <w:tblPr/>
      <w:tcPr>
        <w:tcBorders>
          <w:top w:val="double" w:sz="4" w:space="0" w:color="FFDE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E00" w:themeColor="accent1"/>
          <w:right w:val="single" w:sz="4" w:space="0" w:color="FFDE00" w:themeColor="accent1"/>
        </w:tcBorders>
      </w:tcPr>
    </w:tblStylePr>
    <w:tblStylePr w:type="band1Horz">
      <w:tblPr/>
      <w:tcPr>
        <w:tcBorders>
          <w:top w:val="single" w:sz="4" w:space="0" w:color="FFDE00" w:themeColor="accent1"/>
          <w:bottom w:val="single" w:sz="4" w:space="0" w:color="FFDE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E00" w:themeColor="accent1"/>
          <w:left w:val="nil"/>
        </w:tcBorders>
      </w:tcPr>
    </w:tblStylePr>
    <w:tblStylePr w:type="swCell">
      <w:tblPr/>
      <w:tcPr>
        <w:tcBorders>
          <w:top w:val="double" w:sz="4" w:space="0" w:color="FFDE00" w:themeColor="accent1"/>
          <w:right w:val="nil"/>
        </w:tcBorders>
      </w:tcPr>
    </w:tblStylePr>
  </w:style>
  <w:style w:type="table" w:styleId="PlainTable1">
    <w:name w:val="Plain Table 1"/>
    <w:basedOn w:val="TableNormal"/>
    <w:rsid w:val="00C36CA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heading0">
    <w:name w:val="Table heading"/>
    <w:basedOn w:val="Body"/>
    <w:qFormat/>
    <w:rsid w:val="00C66739"/>
    <w:pPr>
      <w:spacing w:before="60" w:after="0" w:line="200" w:lineRule="exact"/>
    </w:pPr>
    <w:rPr>
      <w:rFonts w:ascii="Guardian Sans Semibold" w:eastAsiaTheme="minorHAnsi" w:hAnsi="Guardian Sans Semibold" w:cs="Open Sans"/>
      <w:b/>
      <w:color w:val="000000"/>
      <w:sz w:val="20"/>
      <w:szCs w:val="40"/>
      <w:lang w:eastAsia="en-GB"/>
    </w:rPr>
  </w:style>
  <w:style w:type="paragraph" w:customStyle="1" w:styleId="Tablebody0">
    <w:name w:val="Table body"/>
    <w:basedOn w:val="Normal"/>
    <w:qFormat/>
    <w:rsid w:val="00C66739"/>
    <w:pPr>
      <w:spacing w:before="60" w:after="60" w:line="220" w:lineRule="exact"/>
    </w:pPr>
    <w:rPr>
      <w:rFonts w:ascii="Guardian TextSans" w:eastAsiaTheme="minorHAnsi" w:hAnsi="Guardian TextSans" w:cstheme="minorBidi"/>
      <w:bCs/>
      <w:sz w:val="20"/>
      <w:szCs w:val="24"/>
      <w:lang w:eastAsia="en-GB"/>
    </w:rPr>
  </w:style>
  <w:style w:type="paragraph" w:styleId="NormalWeb">
    <w:name w:val="Normal (Web)"/>
    <w:basedOn w:val="Normal"/>
    <w:uiPriority w:val="99"/>
    <w:semiHidden/>
    <w:unhideWhenUsed/>
    <w:rsid w:val="00886C99"/>
    <w:pPr>
      <w:spacing w:before="100" w:beforeAutospacing="1" w:after="100" w:afterAutospacing="1"/>
    </w:pPr>
    <w:rPr>
      <w:rFonts w:ascii="Times New Roman" w:hAnsi="Times New Roman"/>
      <w:sz w:val="24"/>
      <w:szCs w:val="24"/>
      <w:lang w:eastAsia="en-NZ"/>
    </w:rPr>
  </w:style>
  <w:style w:type="table" w:styleId="TableGridLight">
    <w:name w:val="Grid Table Light"/>
    <w:basedOn w:val="TableNormal"/>
    <w:rsid w:val="00EB3D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unhideWhenUsed/>
    <w:rsid w:val="00EB3DB4"/>
    <w:rPr>
      <w:color w:val="00ABD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1760">
      <w:bodyDiv w:val="1"/>
      <w:marLeft w:val="0"/>
      <w:marRight w:val="0"/>
      <w:marTop w:val="0"/>
      <w:marBottom w:val="0"/>
      <w:divBdr>
        <w:top w:val="none" w:sz="0" w:space="0" w:color="auto"/>
        <w:left w:val="none" w:sz="0" w:space="0" w:color="auto"/>
        <w:bottom w:val="none" w:sz="0" w:space="0" w:color="auto"/>
        <w:right w:val="none" w:sz="0" w:space="0" w:color="auto"/>
      </w:divBdr>
    </w:div>
    <w:div w:id="136263876">
      <w:bodyDiv w:val="1"/>
      <w:marLeft w:val="0"/>
      <w:marRight w:val="0"/>
      <w:marTop w:val="0"/>
      <w:marBottom w:val="0"/>
      <w:divBdr>
        <w:top w:val="none" w:sz="0" w:space="0" w:color="auto"/>
        <w:left w:val="none" w:sz="0" w:space="0" w:color="auto"/>
        <w:bottom w:val="none" w:sz="0" w:space="0" w:color="auto"/>
        <w:right w:val="none" w:sz="0" w:space="0" w:color="auto"/>
      </w:divBdr>
    </w:div>
    <w:div w:id="241723152">
      <w:bodyDiv w:val="1"/>
      <w:marLeft w:val="0"/>
      <w:marRight w:val="0"/>
      <w:marTop w:val="0"/>
      <w:marBottom w:val="0"/>
      <w:divBdr>
        <w:top w:val="none" w:sz="0" w:space="0" w:color="auto"/>
        <w:left w:val="none" w:sz="0" w:space="0" w:color="auto"/>
        <w:bottom w:val="none" w:sz="0" w:space="0" w:color="auto"/>
        <w:right w:val="none" w:sz="0" w:space="0" w:color="auto"/>
      </w:divBdr>
    </w:div>
    <w:div w:id="1628774844">
      <w:bodyDiv w:val="1"/>
      <w:marLeft w:val="0"/>
      <w:marRight w:val="0"/>
      <w:marTop w:val="0"/>
      <w:marBottom w:val="0"/>
      <w:divBdr>
        <w:top w:val="none" w:sz="0" w:space="0" w:color="auto"/>
        <w:left w:val="none" w:sz="0" w:space="0" w:color="auto"/>
        <w:bottom w:val="none" w:sz="0" w:space="0" w:color="auto"/>
        <w:right w:val="none" w:sz="0" w:space="0" w:color="auto"/>
      </w:divBdr>
    </w:div>
    <w:div w:id="2018772082">
      <w:bodyDiv w:val="1"/>
      <w:marLeft w:val="0"/>
      <w:marRight w:val="0"/>
      <w:marTop w:val="0"/>
      <w:marBottom w:val="0"/>
      <w:divBdr>
        <w:top w:val="none" w:sz="0" w:space="0" w:color="auto"/>
        <w:left w:val="none" w:sz="0" w:space="0" w:color="auto"/>
        <w:bottom w:val="none" w:sz="0" w:space="0" w:color="auto"/>
        <w:right w:val="none" w:sz="0" w:space="0" w:color="auto"/>
      </w:divBdr>
    </w:div>
    <w:div w:id="2119175389">
      <w:bodyDiv w:val="1"/>
      <w:marLeft w:val="0"/>
      <w:marRight w:val="0"/>
      <w:marTop w:val="0"/>
      <w:marBottom w:val="0"/>
      <w:divBdr>
        <w:top w:val="none" w:sz="0" w:space="0" w:color="auto"/>
        <w:left w:val="none" w:sz="0" w:space="0" w:color="auto"/>
        <w:bottom w:val="none" w:sz="0" w:space="0" w:color="auto"/>
        <w:right w:val="none" w:sz="0" w:space="0" w:color="auto"/>
      </w:divBdr>
    </w:div>
    <w:div w:id="212241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3.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4.jp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2.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hart" Target="charts/chart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image" Target="media/image7.jpg"/><Relationship Id="rId30"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3" Type="http://schemas.openxmlformats.org/officeDocument/2006/relationships/hyperlink" Target="https://quarterly.infometrics.co.nz/wellington-city/labour-market/unemployment-rate" TargetMode="External"/><Relationship Id="rId2" Type="http://schemas.openxmlformats.org/officeDocument/2006/relationships/hyperlink" Target="https://wellington.govt.nz/your-council/plans-policies-and-bylaws/plans-and-reports/annual-report" TargetMode="External"/><Relationship Id="rId1" Type="http://schemas.openxmlformats.org/officeDocument/2006/relationships/hyperlink" Target="https://wellington.govt.nz/your-council/plans-policies-and-bylaws/plans-and-reports/long-term-plan/long-term-plan-2024-34" TargetMode="External"/><Relationship Id="rId6" Type="http://schemas.openxmlformats.org/officeDocument/2006/relationships/hyperlink" Target="https://wccgovtnz.sharepoint.com/sites/spot/Economic%20Development/Forms/AllItems.aspx?id=%2Fsites%2Fspot%2FEconomic%20Development%2FTakina%2FOperating%20Model%20Review%2FDocuments%20for%20meeting%20with%20Te%20Papa%20190924%2F3%20T%C4%81kina%20Operational%20Model%20and%20Governance%20Review%20August%202023%2Epdf&amp;parent=%2Fsites%2Fspot%2FEconomic%20Development%2FTakina%2FOperating%20Model%20Review%2FDocuments%20for%20meeting%20with%20Te%20Papa%20190924" TargetMode="External"/><Relationship Id="rId5" Type="http://schemas.openxmlformats.org/officeDocument/2006/relationships/hyperlink" Target="https://economics.infometrics.co.nz/article/2025-09-new-zealands-most-creative-city-in-2024" TargetMode="External"/><Relationship Id="rId4" Type="http://schemas.openxmlformats.org/officeDocument/2006/relationships/hyperlink" Target="https://regions.infometrics.co.nz/wellington-city/economy/industry-diversity?compare=new-zealand"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Jones1M\Downloads\hh-index.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ones1M\Downloads\ten-largest-anzsic-leve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b="1"/>
              <a:t>HH index (YTD</a:t>
            </a:r>
            <a:r>
              <a:rPr lang="en-NZ" b="1" baseline="0"/>
              <a:t> March)</a:t>
            </a:r>
          </a:p>
          <a:p>
            <a:pPr>
              <a:defRPr/>
            </a:pPr>
            <a:r>
              <a:rPr lang="en-NZ" sz="1200" baseline="0"/>
              <a:t>(higher = less diverse economy, lower = more diverse economy)</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Wellington City</c:v>
                </c:pt>
              </c:strCache>
            </c:strRef>
          </c:tx>
          <c:spPr>
            <a:ln w="28575" cap="rnd">
              <a:solidFill>
                <a:srgbClr val="316448"/>
              </a:solidFill>
              <a:round/>
            </a:ln>
            <a:effectLst/>
          </c:spPr>
          <c:marker>
            <c:symbol val="none"/>
          </c:marker>
          <c:dLbls>
            <c:dLbl>
              <c:idx val="25"/>
              <c:layout>
                <c:manualLayout>
                  <c:x val="-3.4386417365140767E-2"/>
                  <c:y val="2.5238362310712283E-2"/>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fld id="{E3DF9F7A-6B55-4314-9293-82D743062D02}" type="VALUE">
                      <a:rPr lang="en-US" b="1"/>
                      <a:pPr>
                        <a:defRPr b="1"/>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312D-4BA2-8474-0FB5DAF6762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Sheet1!$A$2:$A$27</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Sheet1!$B$2:$B$27</c:f>
              <c:numCache>
                <c:formatCode>General</c:formatCode>
                <c:ptCount val="26"/>
                <c:pt idx="0">
                  <c:v>525</c:v>
                </c:pt>
                <c:pt idx="1">
                  <c:v>526</c:v>
                </c:pt>
                <c:pt idx="2">
                  <c:v>535</c:v>
                </c:pt>
                <c:pt idx="3">
                  <c:v>552</c:v>
                </c:pt>
                <c:pt idx="4">
                  <c:v>517</c:v>
                </c:pt>
                <c:pt idx="5">
                  <c:v>545</c:v>
                </c:pt>
                <c:pt idx="6">
                  <c:v>557</c:v>
                </c:pt>
                <c:pt idx="7">
                  <c:v>597</c:v>
                </c:pt>
                <c:pt idx="8">
                  <c:v>635</c:v>
                </c:pt>
                <c:pt idx="9">
                  <c:v>684</c:v>
                </c:pt>
                <c:pt idx="10">
                  <c:v>661</c:v>
                </c:pt>
                <c:pt idx="11">
                  <c:v>650</c:v>
                </c:pt>
                <c:pt idx="12">
                  <c:v>638</c:v>
                </c:pt>
                <c:pt idx="13">
                  <c:v>655</c:v>
                </c:pt>
                <c:pt idx="14">
                  <c:v>683</c:v>
                </c:pt>
                <c:pt idx="15">
                  <c:v>682</c:v>
                </c:pt>
                <c:pt idx="16">
                  <c:v>680</c:v>
                </c:pt>
                <c:pt idx="17">
                  <c:v>693</c:v>
                </c:pt>
                <c:pt idx="18">
                  <c:v>710</c:v>
                </c:pt>
                <c:pt idx="19">
                  <c:v>715</c:v>
                </c:pt>
                <c:pt idx="20">
                  <c:v>747</c:v>
                </c:pt>
                <c:pt idx="21">
                  <c:v>806</c:v>
                </c:pt>
                <c:pt idx="22">
                  <c:v>812</c:v>
                </c:pt>
                <c:pt idx="23">
                  <c:v>844</c:v>
                </c:pt>
                <c:pt idx="24">
                  <c:v>846</c:v>
                </c:pt>
                <c:pt idx="25">
                  <c:v>827</c:v>
                </c:pt>
              </c:numCache>
            </c:numRef>
          </c:val>
          <c:smooth val="0"/>
          <c:extLst>
            <c:ext xmlns:c16="http://schemas.microsoft.com/office/drawing/2014/chart" uri="{C3380CC4-5D6E-409C-BE32-E72D297353CC}">
              <c16:uniqueId val="{00000000-312D-4BA2-8474-0FB5DAF67627}"/>
            </c:ext>
          </c:extLst>
        </c:ser>
        <c:ser>
          <c:idx val="1"/>
          <c:order val="1"/>
          <c:tx>
            <c:strRef>
              <c:f>Sheet1!$C$1</c:f>
              <c:strCache>
                <c:ptCount val="1"/>
                <c:pt idx="0">
                  <c:v>TA average</c:v>
                </c:pt>
              </c:strCache>
            </c:strRef>
          </c:tx>
          <c:spPr>
            <a:ln w="28575" cap="rnd">
              <a:solidFill>
                <a:srgbClr val="FFDD00"/>
              </a:solidFill>
              <a:round/>
            </a:ln>
            <a:effectLst/>
          </c:spPr>
          <c:marker>
            <c:symbol val="none"/>
          </c:marker>
          <c:dLbls>
            <c:dLbl>
              <c:idx val="25"/>
              <c:layout>
                <c:manualLayout>
                  <c:x val="-2.5789813023855575E-2"/>
                  <c:y val="-2.8042624789680365E-2"/>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fld id="{5F0A4B18-ADAE-4549-9C90-58D7F1DCDDF6}" type="VALUE">
                      <a:rPr lang="en-US" b="1">
                        <a:solidFill>
                          <a:schemeClr val="accent1">
                            <a:lumMod val="75000"/>
                          </a:schemeClr>
                        </a:solidFill>
                      </a:rPr>
                      <a:pPr>
                        <a:defRPr b="1"/>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312D-4BA2-8474-0FB5DAF6762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Sheet1!$A$2:$A$27</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Sheet1!$C$2:$C$27</c:f>
              <c:numCache>
                <c:formatCode>General</c:formatCode>
                <c:ptCount val="26"/>
                <c:pt idx="0">
                  <c:v>557</c:v>
                </c:pt>
                <c:pt idx="1">
                  <c:v>531</c:v>
                </c:pt>
                <c:pt idx="2">
                  <c:v>511</c:v>
                </c:pt>
                <c:pt idx="3">
                  <c:v>511</c:v>
                </c:pt>
                <c:pt idx="4">
                  <c:v>516</c:v>
                </c:pt>
                <c:pt idx="5">
                  <c:v>496</c:v>
                </c:pt>
                <c:pt idx="6">
                  <c:v>500</c:v>
                </c:pt>
                <c:pt idx="7">
                  <c:v>486</c:v>
                </c:pt>
                <c:pt idx="8">
                  <c:v>486</c:v>
                </c:pt>
                <c:pt idx="9">
                  <c:v>513</c:v>
                </c:pt>
                <c:pt idx="10">
                  <c:v>537</c:v>
                </c:pt>
                <c:pt idx="11">
                  <c:v>513</c:v>
                </c:pt>
                <c:pt idx="12">
                  <c:v>524</c:v>
                </c:pt>
                <c:pt idx="13">
                  <c:v>522</c:v>
                </c:pt>
                <c:pt idx="14">
                  <c:v>511</c:v>
                </c:pt>
                <c:pt idx="15">
                  <c:v>509</c:v>
                </c:pt>
                <c:pt idx="16">
                  <c:v>496</c:v>
                </c:pt>
                <c:pt idx="17">
                  <c:v>481</c:v>
                </c:pt>
                <c:pt idx="18">
                  <c:v>463</c:v>
                </c:pt>
                <c:pt idx="19">
                  <c:v>463</c:v>
                </c:pt>
                <c:pt idx="20">
                  <c:v>472</c:v>
                </c:pt>
                <c:pt idx="21">
                  <c:v>482</c:v>
                </c:pt>
                <c:pt idx="22">
                  <c:v>466</c:v>
                </c:pt>
                <c:pt idx="23">
                  <c:v>463</c:v>
                </c:pt>
                <c:pt idx="24">
                  <c:v>478</c:v>
                </c:pt>
                <c:pt idx="25">
                  <c:v>489</c:v>
                </c:pt>
              </c:numCache>
            </c:numRef>
          </c:val>
          <c:smooth val="0"/>
          <c:extLst>
            <c:ext xmlns:c16="http://schemas.microsoft.com/office/drawing/2014/chart" uri="{C3380CC4-5D6E-409C-BE32-E72D297353CC}">
              <c16:uniqueId val="{00000001-312D-4BA2-8474-0FB5DAF67627}"/>
            </c:ext>
          </c:extLst>
        </c:ser>
        <c:dLbls>
          <c:showLegendKey val="0"/>
          <c:showVal val="0"/>
          <c:showCatName val="0"/>
          <c:showSerName val="0"/>
          <c:showPercent val="0"/>
          <c:showBubbleSize val="0"/>
        </c:dLbls>
        <c:smooth val="0"/>
        <c:axId val="345659247"/>
        <c:axId val="345660207"/>
      </c:lineChart>
      <c:catAx>
        <c:axId val="3456592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660207"/>
        <c:crosses val="autoZero"/>
        <c:auto val="1"/>
        <c:lblAlgn val="ctr"/>
        <c:lblOffset val="100"/>
        <c:noMultiLvlLbl val="0"/>
      </c:catAx>
      <c:valAx>
        <c:axId val="3456602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6592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b="1"/>
              <a:t>Largest</a:t>
            </a:r>
            <a:r>
              <a:rPr lang="en-NZ" b="1" baseline="0"/>
              <a:t> industries in Wellington city by proportion of overall filled jobs (YTD March)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3575206508277375"/>
          <c:y val="0.20690699787943048"/>
          <c:w val="0.44518242037927075"/>
          <c:h val="0.66001354874566764"/>
        </c:manualLayout>
      </c:layout>
      <c:barChart>
        <c:barDir val="bar"/>
        <c:grouping val="clustered"/>
        <c:varyColors val="0"/>
        <c:ser>
          <c:idx val="0"/>
          <c:order val="0"/>
          <c:tx>
            <c:strRef>
              <c:f>Sheet1!$G$2</c:f>
              <c:strCache>
                <c:ptCount val="1"/>
                <c:pt idx="0">
                  <c:v>New Zealand</c:v>
                </c:pt>
              </c:strCache>
            </c:strRef>
          </c:tx>
          <c:spPr>
            <a:solidFill>
              <a:schemeClr val="accent1"/>
            </a:solidFill>
            <a:ln>
              <a:noFill/>
            </a:ln>
            <a:effectLst/>
          </c:spPr>
          <c:invertIfNegative val="0"/>
          <c:cat>
            <c:strRef>
              <c:f>Sheet1!$F$3:$F$11</c:f>
              <c:strCache>
                <c:ptCount val="9"/>
                <c:pt idx="0">
                  <c:v>Construction</c:v>
                </c:pt>
                <c:pt idx="1">
                  <c:v>Administrative and support services</c:v>
                </c:pt>
                <c:pt idx="2">
                  <c:v>Retail trade</c:v>
                </c:pt>
                <c:pt idx="3">
                  <c:v>Financial and insurance services</c:v>
                </c:pt>
                <c:pt idx="4">
                  <c:v>Accommodation and food services</c:v>
                </c:pt>
                <c:pt idx="5">
                  <c:v>Education and training</c:v>
                </c:pt>
                <c:pt idx="6">
                  <c:v>Health care and social assistance</c:v>
                </c:pt>
                <c:pt idx="7">
                  <c:v>Professional, scientific and technical services</c:v>
                </c:pt>
                <c:pt idx="8">
                  <c:v>Public administration and safety</c:v>
                </c:pt>
              </c:strCache>
            </c:strRef>
          </c:cat>
          <c:val>
            <c:numRef>
              <c:f>Sheet1!$G$3:$G$11</c:f>
              <c:numCache>
                <c:formatCode>0.00%</c:formatCode>
                <c:ptCount val="9"/>
                <c:pt idx="0">
                  <c:v>0.1014</c:v>
                </c:pt>
                <c:pt idx="1">
                  <c:v>4.6100000000000002E-2</c:v>
                </c:pt>
                <c:pt idx="2">
                  <c:v>8.5500000000000007E-2</c:v>
                </c:pt>
                <c:pt idx="3">
                  <c:v>2.86E-2</c:v>
                </c:pt>
                <c:pt idx="4">
                  <c:v>6.3E-2</c:v>
                </c:pt>
                <c:pt idx="5">
                  <c:v>7.8799999999999995E-2</c:v>
                </c:pt>
                <c:pt idx="6">
                  <c:v>0.1095</c:v>
                </c:pt>
                <c:pt idx="7">
                  <c:v>9.0899999999999995E-2</c:v>
                </c:pt>
                <c:pt idx="8">
                  <c:v>5.9900000000000002E-2</c:v>
                </c:pt>
              </c:numCache>
            </c:numRef>
          </c:val>
          <c:extLst>
            <c:ext xmlns:c16="http://schemas.microsoft.com/office/drawing/2014/chart" uri="{C3380CC4-5D6E-409C-BE32-E72D297353CC}">
              <c16:uniqueId val="{00000000-883D-4157-9F55-5DA5E135D830}"/>
            </c:ext>
          </c:extLst>
        </c:ser>
        <c:ser>
          <c:idx val="1"/>
          <c:order val="1"/>
          <c:tx>
            <c:strRef>
              <c:f>Sheet1!$H$2</c:f>
              <c:strCache>
                <c:ptCount val="1"/>
                <c:pt idx="0">
                  <c:v>Wellington City</c:v>
                </c:pt>
              </c:strCache>
            </c:strRef>
          </c:tx>
          <c:spPr>
            <a:solidFill>
              <a:srgbClr val="316448"/>
            </a:solidFill>
            <a:ln>
              <a:noFill/>
            </a:ln>
            <a:effectLst/>
          </c:spPr>
          <c:invertIfNegative val="0"/>
          <c:dLbls>
            <c:dLbl>
              <c:idx val="0"/>
              <c:layout>
                <c:manualLayout>
                  <c:x val="-7.215007215007215E-3"/>
                  <c:y val="-6.05877006967596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83D-4157-9F55-5DA5E135D830}"/>
                </c:ext>
              </c:extLst>
            </c:dLbl>
            <c:dLbl>
              <c:idx val="2"/>
              <c:layout>
                <c:manualLayout>
                  <c:x val="0"/>
                  <c:y val="-6.05877006967585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83D-4157-9F55-5DA5E135D830}"/>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Sheet1!$F$3:$F$11</c:f>
              <c:strCache>
                <c:ptCount val="9"/>
                <c:pt idx="0">
                  <c:v>Construction</c:v>
                </c:pt>
                <c:pt idx="1">
                  <c:v>Administrative and support services</c:v>
                </c:pt>
                <c:pt idx="2">
                  <c:v>Retail trade</c:v>
                </c:pt>
                <c:pt idx="3">
                  <c:v>Financial and insurance services</c:v>
                </c:pt>
                <c:pt idx="4">
                  <c:v>Accommodation and food services</c:v>
                </c:pt>
                <c:pt idx="5">
                  <c:v>Education and training</c:v>
                </c:pt>
                <c:pt idx="6">
                  <c:v>Health care and social assistance</c:v>
                </c:pt>
                <c:pt idx="7">
                  <c:v>Professional, scientific and technical services</c:v>
                </c:pt>
                <c:pt idx="8">
                  <c:v>Public administration and safety</c:v>
                </c:pt>
              </c:strCache>
            </c:strRef>
          </c:cat>
          <c:val>
            <c:numRef>
              <c:f>Sheet1!$H$3:$H$11</c:f>
              <c:numCache>
                <c:formatCode>0.00%</c:formatCode>
                <c:ptCount val="9"/>
                <c:pt idx="0">
                  <c:v>4.3099999999999999E-2</c:v>
                </c:pt>
                <c:pt idx="1">
                  <c:v>4.5900000000000003E-2</c:v>
                </c:pt>
                <c:pt idx="2">
                  <c:v>4.7E-2</c:v>
                </c:pt>
                <c:pt idx="3">
                  <c:v>6.0299999999999999E-2</c:v>
                </c:pt>
                <c:pt idx="4">
                  <c:v>6.2E-2</c:v>
                </c:pt>
                <c:pt idx="5">
                  <c:v>7.2900000000000006E-2</c:v>
                </c:pt>
                <c:pt idx="6">
                  <c:v>9.2700000000000005E-2</c:v>
                </c:pt>
                <c:pt idx="7">
                  <c:v>0.1484</c:v>
                </c:pt>
                <c:pt idx="8">
                  <c:v>0.23380000000000001</c:v>
                </c:pt>
              </c:numCache>
            </c:numRef>
          </c:val>
          <c:extLst>
            <c:ext xmlns:c16="http://schemas.microsoft.com/office/drawing/2014/chart" uri="{C3380CC4-5D6E-409C-BE32-E72D297353CC}">
              <c16:uniqueId val="{00000001-883D-4157-9F55-5DA5E135D830}"/>
            </c:ext>
          </c:extLst>
        </c:ser>
        <c:dLbls>
          <c:showLegendKey val="0"/>
          <c:showVal val="0"/>
          <c:showCatName val="0"/>
          <c:showSerName val="0"/>
          <c:showPercent val="0"/>
          <c:showBubbleSize val="0"/>
        </c:dLbls>
        <c:gapWidth val="162"/>
        <c:axId val="206984768"/>
        <c:axId val="206983808"/>
      </c:barChart>
      <c:catAx>
        <c:axId val="206984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206983808"/>
        <c:crosses val="autoZero"/>
        <c:auto val="1"/>
        <c:lblAlgn val="ctr"/>
        <c:lblOffset val="100"/>
        <c:noMultiLvlLbl val="0"/>
      </c:catAx>
      <c:valAx>
        <c:axId val="2069838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84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sz="1400" b="1" i="0" u="none" strike="noStrike" kern="1200" spc="0" baseline="0">
                <a:solidFill>
                  <a:srgbClr val="000000">
                    <a:lumMod val="65000"/>
                    <a:lumOff val="35000"/>
                  </a:srgbClr>
                </a:solidFill>
              </a:rPr>
              <a:t>Top 10 largest industries by % of GDP for YTD March 2025</a:t>
            </a:r>
            <a:br>
              <a:rPr lang="en-NZ" sz="1400" b="0" i="0" u="none" strike="noStrike" kern="1200" spc="0" baseline="0">
                <a:solidFill>
                  <a:srgbClr val="000000">
                    <a:lumMod val="65000"/>
                    <a:lumOff val="35000"/>
                  </a:srgbClr>
                </a:solidFill>
              </a:rPr>
            </a:br>
            <a:r>
              <a:rPr lang="en-NZ" sz="1400" b="0" i="0" u="none" strike="noStrike" kern="1200" spc="0" baseline="0">
                <a:solidFill>
                  <a:srgbClr val="000000">
                    <a:lumMod val="65000"/>
                    <a:lumOff val="35000"/>
                  </a:srgbClr>
                </a:solidFill>
              </a:rPr>
              <a:t>(excluding unallocated GDP)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sheet1!$J$1</c:f>
              <c:strCache>
                <c:ptCount val="1"/>
                <c:pt idx="0">
                  <c:v>Wellington City</c:v>
                </c:pt>
              </c:strCache>
            </c:strRef>
          </c:tx>
          <c:spPr>
            <a:solidFill>
              <a:srgbClr val="316448"/>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sheet1!$I$2:$I$11</c:f>
              <c:strCache>
                <c:ptCount val="10"/>
                <c:pt idx="0">
                  <c:v>Public administration 
and safety</c:v>
                </c:pt>
                <c:pt idx="1">
                  <c:v>Professional, scientific 
and technical services</c:v>
                </c:pt>
                <c:pt idx="2">
                  <c:v>Financial and 
insurance services</c:v>
                </c:pt>
                <c:pt idx="3">
                  <c:v>Information media and 
telecommunications</c:v>
                </c:pt>
                <c:pt idx="4">
                  <c:v>Owner-occupied
 property operation</c:v>
                </c:pt>
                <c:pt idx="5">
                  <c:v>Health care and 
social assistance</c:v>
                </c:pt>
                <c:pt idx="6">
                  <c:v>Transport, postal 
and warehousing</c:v>
                </c:pt>
                <c:pt idx="7">
                  <c:v>Rental, hiring and 
real estate services</c:v>
                </c:pt>
                <c:pt idx="8">
                  <c:v>Wholesale trade</c:v>
                </c:pt>
                <c:pt idx="9">
                  <c:v>Education and training</c:v>
                </c:pt>
              </c:strCache>
            </c:strRef>
          </c:cat>
          <c:val>
            <c:numRef>
              <c:f>sheet1!$J$2:$J$11</c:f>
              <c:numCache>
                <c:formatCode>0.00%</c:formatCode>
                <c:ptCount val="10"/>
                <c:pt idx="0">
                  <c:v>0.1913</c:v>
                </c:pt>
                <c:pt idx="1">
                  <c:v>0.15040000000000001</c:v>
                </c:pt>
                <c:pt idx="2">
                  <c:v>9.1899999999999996E-2</c:v>
                </c:pt>
                <c:pt idx="3">
                  <c:v>8.8200000000000001E-2</c:v>
                </c:pt>
                <c:pt idx="4">
                  <c:v>6.3E-2</c:v>
                </c:pt>
                <c:pt idx="5">
                  <c:v>5.1999999999999998E-2</c:v>
                </c:pt>
                <c:pt idx="6">
                  <c:v>4.0099999999999997E-2</c:v>
                </c:pt>
                <c:pt idx="7">
                  <c:v>3.7199999999999997E-2</c:v>
                </c:pt>
                <c:pt idx="8">
                  <c:v>2.9100000000000001E-2</c:v>
                </c:pt>
                <c:pt idx="9">
                  <c:v>2.86E-2</c:v>
                </c:pt>
              </c:numCache>
            </c:numRef>
          </c:val>
          <c:extLst>
            <c:ext xmlns:c16="http://schemas.microsoft.com/office/drawing/2014/chart" uri="{C3380CC4-5D6E-409C-BE32-E72D297353CC}">
              <c16:uniqueId val="{00000000-B688-48F5-ABD9-CA92D96904B9}"/>
            </c:ext>
          </c:extLst>
        </c:ser>
        <c:ser>
          <c:idx val="1"/>
          <c:order val="1"/>
          <c:tx>
            <c:strRef>
              <c:f>sheet1!$K$1</c:f>
              <c:strCache>
                <c:ptCount val="1"/>
                <c:pt idx="0">
                  <c:v>New Zealand</c:v>
                </c:pt>
              </c:strCache>
            </c:strRef>
          </c:tx>
          <c:spPr>
            <a:solidFill>
              <a:srgbClr val="FFDE00"/>
            </a:solidFill>
            <a:ln>
              <a:noFill/>
            </a:ln>
            <a:effectLst/>
          </c:spPr>
          <c:invertIfNegative val="0"/>
          <c:cat>
            <c:strRef>
              <c:f>sheet1!$I$2:$I$11</c:f>
              <c:strCache>
                <c:ptCount val="10"/>
                <c:pt idx="0">
                  <c:v>Public administration 
and safety</c:v>
                </c:pt>
                <c:pt idx="1">
                  <c:v>Professional, scientific 
and technical services</c:v>
                </c:pt>
                <c:pt idx="2">
                  <c:v>Financial and 
insurance services</c:v>
                </c:pt>
                <c:pt idx="3">
                  <c:v>Information media and 
telecommunications</c:v>
                </c:pt>
                <c:pt idx="4">
                  <c:v>Owner-occupied
 property operation</c:v>
                </c:pt>
                <c:pt idx="5">
                  <c:v>Health care and 
social assistance</c:v>
                </c:pt>
                <c:pt idx="6">
                  <c:v>Transport, postal 
and warehousing</c:v>
                </c:pt>
                <c:pt idx="7">
                  <c:v>Rental, hiring and 
real estate services</c:v>
                </c:pt>
                <c:pt idx="8">
                  <c:v>Wholesale trade</c:v>
                </c:pt>
                <c:pt idx="9">
                  <c:v>Education and training</c:v>
                </c:pt>
              </c:strCache>
            </c:strRef>
          </c:cat>
          <c:val>
            <c:numRef>
              <c:f>sheet1!$K$2:$K$11</c:f>
              <c:numCache>
                <c:formatCode>0.00%</c:formatCode>
                <c:ptCount val="10"/>
                <c:pt idx="0">
                  <c:v>4.8099999999999997E-2</c:v>
                </c:pt>
                <c:pt idx="1">
                  <c:v>9.4E-2</c:v>
                </c:pt>
                <c:pt idx="2">
                  <c:v>5.6800000000000003E-2</c:v>
                </c:pt>
                <c:pt idx="3">
                  <c:v>4.1300000000000003E-2</c:v>
                </c:pt>
                <c:pt idx="4">
                  <c:v>7.8E-2</c:v>
                </c:pt>
                <c:pt idx="5">
                  <c:v>6.83E-2</c:v>
                </c:pt>
                <c:pt idx="6">
                  <c:v>4.1599999999999998E-2</c:v>
                </c:pt>
                <c:pt idx="7">
                  <c:v>6.6199999999999995E-2</c:v>
                </c:pt>
                <c:pt idx="8">
                  <c:v>4.8899999999999999E-2</c:v>
                </c:pt>
                <c:pt idx="9">
                  <c:v>3.61E-2</c:v>
                </c:pt>
              </c:numCache>
            </c:numRef>
          </c:val>
          <c:extLst>
            <c:ext xmlns:c16="http://schemas.microsoft.com/office/drawing/2014/chart" uri="{C3380CC4-5D6E-409C-BE32-E72D297353CC}">
              <c16:uniqueId val="{00000001-B688-48F5-ABD9-CA92D96904B9}"/>
            </c:ext>
          </c:extLst>
        </c:ser>
        <c:dLbls>
          <c:showLegendKey val="0"/>
          <c:showVal val="0"/>
          <c:showCatName val="0"/>
          <c:showSerName val="0"/>
          <c:showPercent val="0"/>
          <c:showBubbleSize val="0"/>
        </c:dLbls>
        <c:gapWidth val="219"/>
        <c:overlap val="-27"/>
        <c:axId val="325995792"/>
        <c:axId val="325990512"/>
      </c:barChart>
      <c:catAx>
        <c:axId val="325995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325990512"/>
        <c:crosses val="autoZero"/>
        <c:auto val="1"/>
        <c:lblAlgn val="ctr"/>
        <c:lblOffset val="100"/>
        <c:noMultiLvlLbl val="0"/>
      </c:catAx>
      <c:valAx>
        <c:axId val="3259905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5995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A1CF6F37-F205-4B3E-B97F-7797A050D094}">
    <t:Anchor>
      <t:Comment id="1083872197"/>
    </t:Anchor>
    <t:History>
      <t:Event id="{93C96B50-2935-4A5E-A8EB-1ABC867BA27D}" time="2025-10-21T23:07:44.293Z">
        <t:Attribution userId="S::Kiri.Rasmussen@wcc.govt.nz::ecee91a3-33af-4e05-a059-7051a5d8fed5" userProvider="AD" userName="Kiri Rasmussen"/>
        <t:Anchor>
          <t:Comment id="1083872197"/>
        </t:Anchor>
        <t:Create/>
      </t:Event>
      <t:Event id="{861F2ECB-4D85-4BE0-84BA-D4A90D064B85}" time="2025-10-21T23:07:44.293Z">
        <t:Attribution userId="S::Kiri.Rasmussen@wcc.govt.nz::ecee91a3-33af-4e05-a059-7051a5d8fed5" userProvider="AD" userName="Kiri Rasmussen"/>
        <t:Anchor>
          <t:Comment id="1083872197"/>
        </t:Anchor>
        <t:Assign userId="S::Jamie.Crump@wcc.govt.nz::3887e989-038c-4ebd-ab43-b901efc3069d" userProvider="AD" userName="Jamie Crump"/>
      </t:Event>
      <t:Event id="{3A69BD05-74E1-4332-A633-D78184330B05}" time="2025-10-21T23:07:44.293Z">
        <t:Attribution userId="S::Kiri.Rasmussen@wcc.govt.nz::ecee91a3-33af-4e05-a059-7051a5d8fed5" userProvider="AD" userName="Kiri Rasmussen"/>
        <t:Anchor>
          <t:Comment id="1083872197"/>
        </t:Anchor>
        <t:SetTitle title="@Jamie Crump: is this list from anywhere specific or can it be added to? I am thinking of the BEW team and Tākina and their role here.."/>
      </t:Event>
      <t:Event id="{163090FD-323E-4038-9395-66ACBD14B27D}" time="2025-10-21T23:51:40.711Z">
        <t:Attribution userId="S::Kiri.Rasmussen@wcc.govt.nz::ecee91a3-33af-4e05-a059-7051a5d8fed5" userProvider="AD" userName="Kiri Rasmussen"/>
        <t:Progress percentComplete="100"/>
      </t:Event>
    </t:History>
  </t:Task>
</t:Tasks>
</file>

<file path=word/theme/theme1.xml><?xml version="1.0" encoding="utf-8"?>
<a:theme xmlns:a="http://schemas.openxmlformats.org/drawingml/2006/main" name="WCC STANDARD">
  <a:themeElements>
    <a:clrScheme name="WCC Bright colours">
      <a:dk1>
        <a:srgbClr val="000000"/>
      </a:dk1>
      <a:lt1>
        <a:srgbClr val="FFFFFF"/>
      </a:lt1>
      <a:dk2>
        <a:srgbClr val="454752"/>
      </a:dk2>
      <a:lt2>
        <a:srgbClr val="E2E3E3"/>
      </a:lt2>
      <a:accent1>
        <a:srgbClr val="FFDE00"/>
      </a:accent1>
      <a:accent2>
        <a:srgbClr val="82858F"/>
      </a:accent2>
      <a:accent3>
        <a:srgbClr val="00ABDD"/>
      </a:accent3>
      <a:accent4>
        <a:srgbClr val="00A650"/>
      </a:accent4>
      <a:accent5>
        <a:srgbClr val="D63D95"/>
      </a:accent5>
      <a:accent6>
        <a:srgbClr val="773D95"/>
      </a:accent6>
      <a:hlink>
        <a:srgbClr val="454752"/>
      </a:hlink>
      <a:folHlink>
        <a:srgbClr val="00ABDD"/>
      </a:folHlink>
    </a:clrScheme>
    <a:fontScheme name="WCC LTP Fonts">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fcda6743-17dc-433e-88ab-476f65ba655b" xsi:nil="true"/>
    <Trove_x0020_Classification xmlns="dfd774ec-d09d-4acf-ac05-58d3c4dc2a53" xsi:nil="true"/>
    <lcf76f155ced4ddcb4097134ff3c332f xmlns="bf090958-8d84-43fb-aea5-a2556d0d860b">
      <Terms xmlns="http://schemas.microsoft.com/office/infopath/2007/PartnerControls"/>
    </lcf76f155ced4ddcb4097134ff3c332f>
    <_Flow_SignoffStatus xmlns="bf090958-8d84-43fb-aea5-a2556d0d860b" xsi:nil="true"/>
    <_dlc_DocId xmlns="dfd774ec-d09d-4acf-ac05-58d3c4dc2a53">SPOT-678730750-410140</_dlc_DocId>
    <_dlc_DocIdUrl xmlns="dfd774ec-d09d-4acf-ac05-58d3c4dc2a53">
      <Url>https://wccgovtnz.sharepoint.com/sites/spot/_layouts/15/DocIdRedir.aspx?ID=SPOT-678730750-410140</Url>
      <Description>SPOT-678730750-410140</Description>
    </_dlc_DocIdUrl>
    <_ip_UnifiedCompliancePolicyUIAction xmlns="http://schemas.microsoft.com/sharepoint/v3" xsi:nil="true"/>
    <Trove_x0020_Creator xmlns="bf090958-8d84-43fb-aea5-a2556d0d860b" xsi:nil="true"/>
    <Trove_x0020_Owner xmlns="bf090958-8d84-43fb-aea5-a2556d0d860b" xsi:nil="true"/>
    <Trove_x0020_Path xmlns="bf090958-8d84-43fb-aea5-a2556d0d860b" xsi:nil="true"/>
    <_ip_UnifiedCompliancePolicyProperties xmlns="http://schemas.microsoft.com/sharepoint/v3" xsi:nil="true"/>
    <Trove_x0020_ID xmlns="bf090958-8d84-43fb-aea5-a2556d0d860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4DD00C077D5C14388E033BAA47F205E" ma:contentTypeVersion="27" ma:contentTypeDescription="Create a new document." ma:contentTypeScope="" ma:versionID="20dc87a41caa09e9acbfe50687489d89">
  <xsd:schema xmlns:xsd="http://www.w3.org/2001/XMLSchema" xmlns:xs="http://www.w3.org/2001/XMLSchema" xmlns:p="http://schemas.microsoft.com/office/2006/metadata/properties" xmlns:ns1="http://schemas.microsoft.com/sharepoint/v3" xmlns:ns2="bf090958-8d84-43fb-aea5-a2556d0d860b" xmlns:ns3="dfd774ec-d09d-4acf-ac05-58d3c4dc2a53" xmlns:ns4="fcda6743-17dc-433e-88ab-476f65ba655b" targetNamespace="http://schemas.microsoft.com/office/2006/metadata/properties" ma:root="true" ma:fieldsID="193c95c1541ad387f497e1cb95fbc286" ns1:_="" ns2:_="" ns3:_="" ns4:_="">
    <xsd:import namespace="http://schemas.microsoft.com/sharepoint/v3"/>
    <xsd:import namespace="bf090958-8d84-43fb-aea5-a2556d0d860b"/>
    <xsd:import namespace="dfd774ec-d09d-4acf-ac05-58d3c4dc2a53"/>
    <xsd:import namespace="fcda6743-17dc-433e-88ab-476f65ba655b"/>
    <xsd:element name="properties">
      <xsd:complexType>
        <xsd:sequence>
          <xsd:element name="documentManagement">
            <xsd:complexType>
              <xsd:all>
                <xsd:element ref="ns2:Trove_x0020_Creator" minOccurs="0"/>
                <xsd:element ref="ns2:Trove_x0020_Owner" minOccurs="0"/>
                <xsd:element ref="ns2:Trove_x0020_ID" minOccurs="0"/>
                <xsd:element ref="ns2:Trove_x0020_Path"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Trove_x0020_Classification" minOccurs="0"/>
                <xsd:element ref="ns3:SharedWithUsers" minOccurs="0"/>
                <xsd:element ref="ns3:SharedWithDetails" minOccurs="0"/>
                <xsd:element ref="ns3:_dlc_DocId" minOccurs="0"/>
                <xsd:element ref="ns3:_dlc_DocIdUrl" minOccurs="0"/>
                <xsd:element ref="ns3:_dlc_DocIdPersistId" minOccurs="0"/>
                <xsd:element ref="ns2:lcf76f155ced4ddcb4097134ff3c332f" minOccurs="0"/>
                <xsd:element ref="ns4:TaxCatchAll" minOccurs="0"/>
                <xsd:element ref="ns2:_Flow_SignoffStatus"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Trove_x0020_Creator" ma:index="8" nillable="true" ma:displayName="Trove Creator" ma:internalName="Trove_x0020_Creator">
      <xsd:simpleType>
        <xsd:restriction base="dms:Text"/>
      </xsd:simpleType>
    </xsd:element>
    <xsd:element name="Trove_x0020_Owner" ma:index="9" nillable="true" ma:displayName="Trove Owner" ma:internalName="Trove_x0020_Owner">
      <xsd:simpleType>
        <xsd:restriction base="dms:Text"/>
      </xsd:simpleType>
    </xsd:element>
    <xsd:element name="Trove_x0020_ID" ma:index="10" nillable="true" ma:displayName="Trove ID" ma:internalName="Trove_x0020_ID">
      <xsd:simpleType>
        <xsd:restriction base="dms:Text"/>
      </xsd:simpleType>
    </xsd:element>
    <xsd:element name="Trove_x0020_Path" ma:index="11" nillable="true" ma:displayName="Trove Path" ma:internalName="Trove_x0020_Path">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_Flow_SignoffStatus" ma:index="32" nillable="true" ma:displayName="Sign-off status" ma:internalName="Sign_x002d_off_x0020_status">
      <xsd:simpleType>
        <xsd:restriction base="dms:Text"/>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Trove_x0020_Classification" ma:index="23" nillable="true" ma:displayName="Trove Classification" ma:internalName="Trove_x0020_Classification">
      <xsd:simpleType>
        <xsd:restriction base="dms:Text">
          <xsd:maxLength value="255"/>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E2216A-4958-C043-8671-A86345220524}">
  <ds:schemaRefs>
    <ds:schemaRef ds:uri="http://schemas.openxmlformats.org/officeDocument/2006/bibliography"/>
  </ds:schemaRefs>
</ds:datastoreItem>
</file>

<file path=customXml/itemProps2.xml><?xml version="1.0" encoding="utf-8"?>
<ds:datastoreItem xmlns:ds="http://schemas.openxmlformats.org/officeDocument/2006/customXml" ds:itemID="{09DA3E7E-FBA5-4DDA-A129-566D2471C85B}">
  <ds:schemaRefs>
    <ds:schemaRef ds:uri="http://schemas.microsoft.com/sharepoint/events"/>
  </ds:schemaRefs>
</ds:datastoreItem>
</file>

<file path=customXml/itemProps3.xml><?xml version="1.0" encoding="utf-8"?>
<ds:datastoreItem xmlns:ds="http://schemas.openxmlformats.org/officeDocument/2006/customXml" ds:itemID="{266C660D-DC9B-4D5C-964E-55BC64E1F50F}">
  <ds:schemaRefs>
    <ds:schemaRef ds:uri="http://schemas.microsoft.com/office/2006/metadata/properties"/>
    <ds:schemaRef ds:uri="http://schemas.microsoft.com/office/infopath/2007/PartnerControls"/>
    <ds:schemaRef ds:uri="fcda6743-17dc-433e-88ab-476f65ba655b"/>
    <ds:schemaRef ds:uri="dfd774ec-d09d-4acf-ac05-58d3c4dc2a53"/>
    <ds:schemaRef ds:uri="bf090958-8d84-43fb-aea5-a2556d0d860b"/>
    <ds:schemaRef ds:uri="http://schemas.microsoft.com/sharepoint/v3"/>
  </ds:schemaRefs>
</ds:datastoreItem>
</file>

<file path=customXml/itemProps4.xml><?xml version="1.0" encoding="utf-8"?>
<ds:datastoreItem xmlns:ds="http://schemas.openxmlformats.org/officeDocument/2006/customXml" ds:itemID="{A12C2CBF-0B94-43D0-B47F-E6D39396EE0F}">
  <ds:schemaRefs>
    <ds:schemaRef ds:uri="http://schemas.microsoft.com/sharepoint/v3/contenttype/forms"/>
  </ds:schemaRefs>
</ds:datastoreItem>
</file>

<file path=customXml/itemProps5.xml><?xml version="1.0" encoding="utf-8"?>
<ds:datastoreItem xmlns:ds="http://schemas.openxmlformats.org/officeDocument/2006/customXml" ds:itemID="{64BCD1C9-99F5-4475-A776-C064DBC67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090958-8d84-43fb-aea5-a2556d0d860b"/>
    <ds:schemaRef ds:uri="dfd774ec-d09d-4acf-ac05-58d3c4dc2a53"/>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7633</Words>
  <Characters>43513</Characters>
  <Application>Microsoft Office Word</Application>
  <DocSecurity>12</DocSecurity>
  <Lines>362</Lines>
  <Paragraphs>102</Paragraphs>
  <ScaleCrop>false</ScaleCrop>
  <Manager/>
  <Company>Wellington City Council</Company>
  <LinksUpToDate>false</LinksUpToDate>
  <CharactersWithSpaces>51044</CharactersWithSpaces>
  <SharedDoc>false</SharedDoc>
  <HyperlinkBase/>
  <HLinks>
    <vt:vector size="168" baseType="variant">
      <vt:variant>
        <vt:i4>1703985</vt:i4>
      </vt:variant>
      <vt:variant>
        <vt:i4>128</vt:i4>
      </vt:variant>
      <vt:variant>
        <vt:i4>0</vt:i4>
      </vt:variant>
      <vt:variant>
        <vt:i4>5</vt:i4>
      </vt:variant>
      <vt:variant>
        <vt:lpwstr/>
      </vt:variant>
      <vt:variant>
        <vt:lpwstr>_Toc223964623</vt:lpwstr>
      </vt:variant>
      <vt:variant>
        <vt:i4>1703985</vt:i4>
      </vt:variant>
      <vt:variant>
        <vt:i4>122</vt:i4>
      </vt:variant>
      <vt:variant>
        <vt:i4>0</vt:i4>
      </vt:variant>
      <vt:variant>
        <vt:i4>5</vt:i4>
      </vt:variant>
      <vt:variant>
        <vt:lpwstr/>
      </vt:variant>
      <vt:variant>
        <vt:lpwstr>_Toc223964622</vt:lpwstr>
      </vt:variant>
      <vt:variant>
        <vt:i4>1703985</vt:i4>
      </vt:variant>
      <vt:variant>
        <vt:i4>116</vt:i4>
      </vt:variant>
      <vt:variant>
        <vt:i4>0</vt:i4>
      </vt:variant>
      <vt:variant>
        <vt:i4>5</vt:i4>
      </vt:variant>
      <vt:variant>
        <vt:lpwstr/>
      </vt:variant>
      <vt:variant>
        <vt:lpwstr>_Toc223964621</vt:lpwstr>
      </vt:variant>
      <vt:variant>
        <vt:i4>1703985</vt:i4>
      </vt:variant>
      <vt:variant>
        <vt:i4>110</vt:i4>
      </vt:variant>
      <vt:variant>
        <vt:i4>0</vt:i4>
      </vt:variant>
      <vt:variant>
        <vt:i4>5</vt:i4>
      </vt:variant>
      <vt:variant>
        <vt:lpwstr/>
      </vt:variant>
      <vt:variant>
        <vt:lpwstr>_Toc223964620</vt:lpwstr>
      </vt:variant>
      <vt:variant>
        <vt:i4>1638449</vt:i4>
      </vt:variant>
      <vt:variant>
        <vt:i4>104</vt:i4>
      </vt:variant>
      <vt:variant>
        <vt:i4>0</vt:i4>
      </vt:variant>
      <vt:variant>
        <vt:i4>5</vt:i4>
      </vt:variant>
      <vt:variant>
        <vt:lpwstr/>
      </vt:variant>
      <vt:variant>
        <vt:lpwstr>_Toc223964619</vt:lpwstr>
      </vt:variant>
      <vt:variant>
        <vt:i4>1638449</vt:i4>
      </vt:variant>
      <vt:variant>
        <vt:i4>98</vt:i4>
      </vt:variant>
      <vt:variant>
        <vt:i4>0</vt:i4>
      </vt:variant>
      <vt:variant>
        <vt:i4>5</vt:i4>
      </vt:variant>
      <vt:variant>
        <vt:lpwstr/>
      </vt:variant>
      <vt:variant>
        <vt:lpwstr>_Toc223964618</vt:lpwstr>
      </vt:variant>
      <vt:variant>
        <vt:i4>1638449</vt:i4>
      </vt:variant>
      <vt:variant>
        <vt:i4>92</vt:i4>
      </vt:variant>
      <vt:variant>
        <vt:i4>0</vt:i4>
      </vt:variant>
      <vt:variant>
        <vt:i4>5</vt:i4>
      </vt:variant>
      <vt:variant>
        <vt:lpwstr/>
      </vt:variant>
      <vt:variant>
        <vt:lpwstr>_Toc223964617</vt:lpwstr>
      </vt:variant>
      <vt:variant>
        <vt:i4>1638449</vt:i4>
      </vt:variant>
      <vt:variant>
        <vt:i4>86</vt:i4>
      </vt:variant>
      <vt:variant>
        <vt:i4>0</vt:i4>
      </vt:variant>
      <vt:variant>
        <vt:i4>5</vt:i4>
      </vt:variant>
      <vt:variant>
        <vt:lpwstr/>
      </vt:variant>
      <vt:variant>
        <vt:lpwstr>_Toc223964616</vt:lpwstr>
      </vt:variant>
      <vt:variant>
        <vt:i4>1638449</vt:i4>
      </vt:variant>
      <vt:variant>
        <vt:i4>80</vt:i4>
      </vt:variant>
      <vt:variant>
        <vt:i4>0</vt:i4>
      </vt:variant>
      <vt:variant>
        <vt:i4>5</vt:i4>
      </vt:variant>
      <vt:variant>
        <vt:lpwstr/>
      </vt:variant>
      <vt:variant>
        <vt:lpwstr>_Toc223964615</vt:lpwstr>
      </vt:variant>
      <vt:variant>
        <vt:i4>1638449</vt:i4>
      </vt:variant>
      <vt:variant>
        <vt:i4>74</vt:i4>
      </vt:variant>
      <vt:variant>
        <vt:i4>0</vt:i4>
      </vt:variant>
      <vt:variant>
        <vt:i4>5</vt:i4>
      </vt:variant>
      <vt:variant>
        <vt:lpwstr/>
      </vt:variant>
      <vt:variant>
        <vt:lpwstr>_Toc223964614</vt:lpwstr>
      </vt:variant>
      <vt:variant>
        <vt:i4>1638449</vt:i4>
      </vt:variant>
      <vt:variant>
        <vt:i4>68</vt:i4>
      </vt:variant>
      <vt:variant>
        <vt:i4>0</vt:i4>
      </vt:variant>
      <vt:variant>
        <vt:i4>5</vt:i4>
      </vt:variant>
      <vt:variant>
        <vt:lpwstr/>
      </vt:variant>
      <vt:variant>
        <vt:lpwstr>_Toc223964613</vt:lpwstr>
      </vt:variant>
      <vt:variant>
        <vt:i4>1638449</vt:i4>
      </vt:variant>
      <vt:variant>
        <vt:i4>62</vt:i4>
      </vt:variant>
      <vt:variant>
        <vt:i4>0</vt:i4>
      </vt:variant>
      <vt:variant>
        <vt:i4>5</vt:i4>
      </vt:variant>
      <vt:variant>
        <vt:lpwstr/>
      </vt:variant>
      <vt:variant>
        <vt:lpwstr>_Toc223964612</vt:lpwstr>
      </vt:variant>
      <vt:variant>
        <vt:i4>1638449</vt:i4>
      </vt:variant>
      <vt:variant>
        <vt:i4>56</vt:i4>
      </vt:variant>
      <vt:variant>
        <vt:i4>0</vt:i4>
      </vt:variant>
      <vt:variant>
        <vt:i4>5</vt:i4>
      </vt:variant>
      <vt:variant>
        <vt:lpwstr/>
      </vt:variant>
      <vt:variant>
        <vt:lpwstr>_Toc223964611</vt:lpwstr>
      </vt:variant>
      <vt:variant>
        <vt:i4>1638449</vt:i4>
      </vt:variant>
      <vt:variant>
        <vt:i4>50</vt:i4>
      </vt:variant>
      <vt:variant>
        <vt:i4>0</vt:i4>
      </vt:variant>
      <vt:variant>
        <vt:i4>5</vt:i4>
      </vt:variant>
      <vt:variant>
        <vt:lpwstr/>
      </vt:variant>
      <vt:variant>
        <vt:lpwstr>_Toc223964610</vt:lpwstr>
      </vt:variant>
      <vt:variant>
        <vt:i4>1572913</vt:i4>
      </vt:variant>
      <vt:variant>
        <vt:i4>44</vt:i4>
      </vt:variant>
      <vt:variant>
        <vt:i4>0</vt:i4>
      </vt:variant>
      <vt:variant>
        <vt:i4>5</vt:i4>
      </vt:variant>
      <vt:variant>
        <vt:lpwstr/>
      </vt:variant>
      <vt:variant>
        <vt:lpwstr>_Toc223964609</vt:lpwstr>
      </vt:variant>
      <vt:variant>
        <vt:i4>1572913</vt:i4>
      </vt:variant>
      <vt:variant>
        <vt:i4>38</vt:i4>
      </vt:variant>
      <vt:variant>
        <vt:i4>0</vt:i4>
      </vt:variant>
      <vt:variant>
        <vt:i4>5</vt:i4>
      </vt:variant>
      <vt:variant>
        <vt:lpwstr/>
      </vt:variant>
      <vt:variant>
        <vt:lpwstr>_Toc223964608</vt:lpwstr>
      </vt:variant>
      <vt:variant>
        <vt:i4>1572913</vt:i4>
      </vt:variant>
      <vt:variant>
        <vt:i4>32</vt:i4>
      </vt:variant>
      <vt:variant>
        <vt:i4>0</vt:i4>
      </vt:variant>
      <vt:variant>
        <vt:i4>5</vt:i4>
      </vt:variant>
      <vt:variant>
        <vt:lpwstr/>
      </vt:variant>
      <vt:variant>
        <vt:lpwstr>_Toc223964607</vt:lpwstr>
      </vt:variant>
      <vt:variant>
        <vt:i4>1572913</vt:i4>
      </vt:variant>
      <vt:variant>
        <vt:i4>26</vt:i4>
      </vt:variant>
      <vt:variant>
        <vt:i4>0</vt:i4>
      </vt:variant>
      <vt:variant>
        <vt:i4>5</vt:i4>
      </vt:variant>
      <vt:variant>
        <vt:lpwstr/>
      </vt:variant>
      <vt:variant>
        <vt:lpwstr>_Toc223964606</vt:lpwstr>
      </vt:variant>
      <vt:variant>
        <vt:i4>1572913</vt:i4>
      </vt:variant>
      <vt:variant>
        <vt:i4>20</vt:i4>
      </vt:variant>
      <vt:variant>
        <vt:i4>0</vt:i4>
      </vt:variant>
      <vt:variant>
        <vt:i4>5</vt:i4>
      </vt:variant>
      <vt:variant>
        <vt:lpwstr/>
      </vt:variant>
      <vt:variant>
        <vt:lpwstr>_Toc223964605</vt:lpwstr>
      </vt:variant>
      <vt:variant>
        <vt:i4>1572913</vt:i4>
      </vt:variant>
      <vt:variant>
        <vt:i4>14</vt:i4>
      </vt:variant>
      <vt:variant>
        <vt:i4>0</vt:i4>
      </vt:variant>
      <vt:variant>
        <vt:i4>5</vt:i4>
      </vt:variant>
      <vt:variant>
        <vt:lpwstr/>
      </vt:variant>
      <vt:variant>
        <vt:lpwstr>_Toc223964604</vt:lpwstr>
      </vt:variant>
      <vt:variant>
        <vt:i4>1572913</vt:i4>
      </vt:variant>
      <vt:variant>
        <vt:i4>8</vt:i4>
      </vt:variant>
      <vt:variant>
        <vt:i4>0</vt:i4>
      </vt:variant>
      <vt:variant>
        <vt:i4>5</vt:i4>
      </vt:variant>
      <vt:variant>
        <vt:lpwstr/>
      </vt:variant>
      <vt:variant>
        <vt:lpwstr>_Toc223964603</vt:lpwstr>
      </vt:variant>
      <vt:variant>
        <vt:i4>1572913</vt:i4>
      </vt:variant>
      <vt:variant>
        <vt:i4>2</vt:i4>
      </vt:variant>
      <vt:variant>
        <vt:i4>0</vt:i4>
      </vt:variant>
      <vt:variant>
        <vt:i4>5</vt:i4>
      </vt:variant>
      <vt:variant>
        <vt:lpwstr/>
      </vt:variant>
      <vt:variant>
        <vt:lpwstr>_Toc223964602</vt:lpwstr>
      </vt:variant>
      <vt:variant>
        <vt:i4>6291502</vt:i4>
      </vt:variant>
      <vt:variant>
        <vt:i4>15</vt:i4>
      </vt:variant>
      <vt:variant>
        <vt:i4>0</vt:i4>
      </vt:variant>
      <vt:variant>
        <vt:i4>5</vt:i4>
      </vt:variant>
      <vt:variant>
        <vt:lpwstr>https://wccgovtnz.sharepoint.com/sites/spot/Economic Development/Forms/AllItems.aspx?id=%2Fsites%2Fspot%2FEconomic%20Development%2FTakina%2FOperating%20Model%20Review%2FDocuments%20for%20meeting%20with%20Te%20Papa%20190924%2F3%20T%C4%81kina%20Operational%20Model%20and%20Governance%20Review%20August%202023%2Epdf&amp;parent=%2Fsites%2Fspot%2FEconomic%20Development%2FTakina%2FOperating%20Model%20Review%2FDocuments%20for%20meeting%20with%20Te%20Papa%20190924</vt:lpwstr>
      </vt:variant>
      <vt:variant>
        <vt:lpwstr/>
      </vt:variant>
      <vt:variant>
        <vt:i4>2949247</vt:i4>
      </vt:variant>
      <vt:variant>
        <vt:i4>12</vt:i4>
      </vt:variant>
      <vt:variant>
        <vt:i4>0</vt:i4>
      </vt:variant>
      <vt:variant>
        <vt:i4>5</vt:i4>
      </vt:variant>
      <vt:variant>
        <vt:lpwstr>https://economics.infometrics.co.nz/article/2025-09-new-zealands-most-creative-city-in-2024</vt:lpwstr>
      </vt:variant>
      <vt:variant>
        <vt:lpwstr/>
      </vt:variant>
      <vt:variant>
        <vt:i4>4784195</vt:i4>
      </vt:variant>
      <vt:variant>
        <vt:i4>9</vt:i4>
      </vt:variant>
      <vt:variant>
        <vt:i4>0</vt:i4>
      </vt:variant>
      <vt:variant>
        <vt:i4>5</vt:i4>
      </vt:variant>
      <vt:variant>
        <vt:lpwstr>https://regions.infometrics.co.nz/wellington-city/economy/industry-diversity?compare=new-zealand</vt:lpwstr>
      </vt:variant>
      <vt:variant>
        <vt:lpwstr/>
      </vt:variant>
      <vt:variant>
        <vt:i4>2687035</vt:i4>
      </vt:variant>
      <vt:variant>
        <vt:i4>6</vt:i4>
      </vt:variant>
      <vt:variant>
        <vt:i4>0</vt:i4>
      </vt:variant>
      <vt:variant>
        <vt:i4>5</vt:i4>
      </vt:variant>
      <vt:variant>
        <vt:lpwstr>https://quarterly.infometrics.co.nz/wellington-city/labour-market/unemployment-rate</vt:lpwstr>
      </vt:variant>
      <vt:variant>
        <vt:lpwstr/>
      </vt:variant>
      <vt:variant>
        <vt:i4>1376282</vt:i4>
      </vt:variant>
      <vt:variant>
        <vt:i4>3</vt:i4>
      </vt:variant>
      <vt:variant>
        <vt:i4>0</vt:i4>
      </vt:variant>
      <vt:variant>
        <vt:i4>5</vt:i4>
      </vt:variant>
      <vt:variant>
        <vt:lpwstr>https://wellington.govt.nz/your-council/plans-policies-and-bylaws/plans-and-reports/annual-report</vt:lpwstr>
      </vt:variant>
      <vt:variant>
        <vt:lpwstr/>
      </vt:variant>
      <vt:variant>
        <vt:i4>2031686</vt:i4>
      </vt:variant>
      <vt:variant>
        <vt:i4>0</vt:i4>
      </vt:variant>
      <vt:variant>
        <vt:i4>0</vt:i4>
      </vt:variant>
      <vt:variant>
        <vt:i4>5</vt:i4>
      </vt:variant>
      <vt:variant>
        <vt:lpwstr>https://wellington.govt.nz/your-council/plans-policies-and-bylaws/plans-and-reports/long-term-plan/long-term-plan-2024-34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 WORD Template portrait A4</dc:title>
  <dc:subject/>
  <dc:creator>Microsoft Office User</dc:creator>
  <cp:keywords/>
  <dc:description/>
  <cp:lastModifiedBy>Debbie Parker</cp:lastModifiedBy>
  <cp:revision>22</cp:revision>
  <cp:lastPrinted>2026-03-07T15:42:00Z</cp:lastPrinted>
  <dcterms:created xsi:type="dcterms:W3CDTF">2026-03-09T22:54:00Z</dcterms:created>
  <dcterms:modified xsi:type="dcterms:W3CDTF">2026-03-12T20:35:00Z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0x01010094DD00C077D5C14388E033BAA47F205E</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2b8d117d-731c-4343-bc38-ed890cf4a2a6</vt:lpwstr>
  </property>
  <property fmtid="{D5CDD505-2E9C-101B-9397-08002B2CF9AE}" pid="6" name="_dlc_DocIdItemGuid">
    <vt:lpwstr>d06f3147-de80-48cc-8d4c-8bab8728afe6</vt:lpwstr>
  </property>
</Properties>
</file>